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44"/>
          <w:szCs w:val="24"/>
          <w:highlight w:val="none"/>
        </w:rPr>
      </w:pPr>
      <w:r>
        <w:rPr>
          <w:highlight w:val="none"/>
        </w:rPr>
      </w:r>
      <w:bookmarkStart w:id="15" w:name="_GoBack"/>
      <w:r>
        <w:rPr>
          <w:rFonts w:hint="eastAsia" w:ascii="宋体" w:hAnsi="宋体" w:eastAsia="宋体" w:cs="宋体"/>
          <w:b/>
          <w:sz w:val="44"/>
          <w:szCs w:val="24"/>
          <w:highlight w:val="none"/>
        </w:rPr>
        <w:t xml:space="preserve">南通大学附属医院</w:t>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u w:val="single"/>
        </w:rPr>
        <w:t xml:space="preserve">高仿真模拟人</w:t>
      </w:r>
      <w:r>
        <w:rPr>
          <w:rFonts w:hint="eastAsia" w:ascii="宋体" w:hAnsi="宋体" w:eastAsia="宋体" w:cs="宋体"/>
          <w:b/>
          <w:sz w:val="44"/>
          <w:szCs w:val="24"/>
          <w:highlight w:val="none"/>
        </w:rPr>
        <w:t xml:space="preserve">采购项目</w:t>
      </w:r>
      <w:bookmarkEnd w:id="15"/>
      <w:r>
        <w:rPr>
          <w:highlight w:val="none"/>
        </w:rPr>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96"/>
          <w:szCs w:val="24"/>
          <w:highlight w:val="none"/>
        </w:rPr>
      </w:pPr>
      <w:r>
        <w:rPr>
          <w:rFonts w:hint="eastAsia" w:ascii="宋体" w:hAnsi="宋体" w:eastAsia="宋体" w:cs="宋体"/>
          <w:b/>
          <w:sz w:val="96"/>
          <w:szCs w:val="24"/>
          <w:highlight w:val="none"/>
        </w:rPr>
        <w:t xml:space="preserve">招　标　文　件</w:t>
      </w:r>
      <w:r>
        <w:rPr>
          <w:highlight w:val="none"/>
        </w:rPr>
      </w:r>
    </w:p>
    <w:p>
      <w:pPr>
        <w:pStyle w:val="961"/>
        <w:ind w:firstLine="0"/>
        <w:jc w:val="center"/>
        <w:rPr>
          <w:rFonts w:hint="eastAsia" w:ascii="宋体" w:hAnsi="宋体" w:cs="宋体"/>
          <w:b/>
          <w:sz w:val="32"/>
          <w:highlight w:val="none"/>
        </w:rPr>
      </w:pPr>
      <w:r>
        <w:rPr>
          <w:rFonts w:hint="eastAsia" w:ascii="宋体" w:hAnsi="宋体" w:cs="宋体"/>
          <w:b/>
          <w:sz w:val="32"/>
          <w:highlight w:val="none"/>
        </w:rPr>
      </w:r>
      <w:r>
        <w:rPr>
          <w:highlight w:val="none"/>
        </w:rPr>
      </w:r>
    </w:p>
    <w:p>
      <w:pPr>
        <w:pStyle w:val="961"/>
        <w:ind w:firstLine="0"/>
        <w:jc w:val="center"/>
        <w:rPr>
          <w:rFonts w:hint="eastAsia" w:ascii="宋体" w:hAnsi="宋体" w:cs="宋体"/>
          <w:b/>
          <w:sz w:val="32"/>
          <w:highlight w:val="none"/>
        </w:rPr>
      </w:pPr>
      <w:r>
        <w:rPr>
          <w:rFonts w:hint="eastAsia" w:ascii="宋体" w:hAnsi="宋体" w:cs="宋体"/>
          <w:b/>
          <w:sz w:val="32"/>
          <w:highlight w:val="none"/>
        </w:rPr>
      </w:r>
      <w:r>
        <w:rPr>
          <w:highlight w:val="none"/>
        </w:rPr>
      </w:r>
    </w:p>
    <w:p>
      <w:pPr>
        <w:jc w:val="center"/>
        <w:widowControl w:val="off"/>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JSZC-320600-SHGK-G2025-0155</w:t>
      </w:r>
      <w:r>
        <w:rPr>
          <w:highlight w:val="none"/>
        </w:rPr>
      </w:r>
    </w:p>
    <w:p>
      <w:pPr>
        <w:pStyle w:val="961"/>
        <w:ind w:firstLine="0"/>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rPr>
          <w:highlight w:val="none"/>
        </w:rPr>
      </w:r>
    </w:p>
    <w:p>
      <w:pPr>
        <w:pStyle w:val="961"/>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61"/>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61"/>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61"/>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61"/>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61"/>
        <w:ind w:firstLine="0"/>
        <w:jc w:val="center"/>
        <w:spacing w:before="0" w:after="0"/>
        <w:rPr>
          <w:rFonts w:hint="eastAsia" w:ascii="宋体" w:hAnsi="宋体" w:eastAsia="宋体" w:cs="宋体"/>
          <w:b/>
          <w:sz w:val="36"/>
          <w:szCs w:val="36"/>
          <w:highlight w:val="none"/>
        </w:rPr>
      </w:pPr>
      <w:r>
        <w:rPr>
          <w:rFonts w:hint="eastAsia" w:ascii="宋体" w:hAnsi="宋体" w:cs="宋体"/>
          <w:b/>
          <w:sz w:val="36"/>
          <w:szCs w:val="36"/>
          <w:highlight w:val="none"/>
        </w:rPr>
        <w:t xml:space="preserve">采购人：南通大学附属医院</w:t>
      </w:r>
      <w:r>
        <w:rPr>
          <w:highlight w:val="none"/>
        </w:rPr>
      </w:r>
    </w:p>
    <w:p>
      <w:pPr>
        <w:pStyle w:val="961"/>
        <w:ind w:firstLine="0"/>
        <w:jc w:val="center"/>
        <w:rPr>
          <w:rFonts w:hint="eastAsia" w:ascii="宋体" w:hAnsi="宋体" w:eastAsia="宋体" w:cs="宋体"/>
          <w:b/>
          <w:sz w:val="36"/>
          <w:szCs w:val="36"/>
          <w:highlight w:val="none"/>
        </w:rPr>
      </w:pPr>
      <w:r>
        <w:rPr>
          <w:rFonts w:hint="eastAsia" w:ascii="宋体" w:hAnsi="宋体" w:cs="宋体"/>
          <w:b/>
          <w:sz w:val="36"/>
          <w:szCs w:val="36"/>
          <w:highlight w:val="none"/>
        </w:rPr>
        <w:t xml:space="preserve">采购代理机构：江苏苏豪创新科技集团高科有限公司</w:t>
      </w:r>
      <w:r>
        <w:rPr>
          <w:highlight w:val="none"/>
        </w:rPr>
      </w:r>
    </w:p>
    <w:p>
      <w:pPr>
        <w:jc w:val="center"/>
        <w:rPr>
          <w:highlight w:val="none"/>
        </w:rPr>
      </w:pPr>
      <w:r>
        <w:rPr>
          <w:rFonts w:ascii="宋体" w:hAnsi="宋体" w:cs="宋体"/>
          <w:b/>
          <w:spacing w:val="40"/>
          <w:sz w:val="36"/>
          <w:highlight w:val="none"/>
        </w:rPr>
        <w:t xml:space="preserve">二○二五年</w:t>
      </w:r>
      <w:r>
        <w:rPr>
          <w:rFonts w:hint="eastAsia" w:ascii="宋体" w:hAnsi="宋体" w:cs="宋体"/>
          <w:b/>
          <w:spacing w:val="40"/>
          <w:sz w:val="36"/>
          <w:highlight w:val="none"/>
        </w:rPr>
        <w:t xml:space="preserve">十</w:t>
      </w:r>
      <w:r>
        <w:rPr>
          <w:rFonts w:hint="eastAsia" w:ascii="宋体" w:hAnsi="宋体" w:cs="宋体"/>
          <w:b/>
          <w:spacing w:val="40"/>
          <w:sz w:val="36"/>
          <w:highlight w:val="none"/>
        </w:rPr>
        <w:t xml:space="preserve">一</w:t>
      </w:r>
      <w:r>
        <w:rPr>
          <w:rFonts w:ascii="宋体" w:hAnsi="宋体" w:cs="宋体"/>
          <w:b/>
          <w:spacing w:val="40"/>
          <w:sz w:val="36"/>
          <w:highlight w:val="none"/>
        </w:rPr>
        <w:t xml:space="preserve">月</w:t>
      </w:r>
      <w:r>
        <w:rPr>
          <w:highlight w:val="none"/>
        </w:rPr>
      </w:r>
    </w:p>
    <w:p>
      <w:pPr>
        <w:pStyle w:val="962"/>
        <w:jc w:val="center"/>
        <w:rPr>
          <w:rFonts w:hint="eastAsia" w:ascii="宋体" w:hAnsi="宋体" w:cs="宋体"/>
          <w:b/>
          <w:bCs w:val="0"/>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cs="宋体"/>
          <w:b/>
          <w:bCs w:val="0"/>
          <w:color w:val="auto"/>
          <w:sz w:val="36"/>
          <w:szCs w:val="36"/>
          <w:highlight w:val="none"/>
          <w:lang w:val="zh-CN"/>
        </w:rPr>
      </w:r>
      <w:r>
        <w:rPr>
          <w:highlight w:val="none"/>
        </w:rPr>
      </w:r>
    </w:p>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51"/>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 目  录</w:t>
      </w:r>
      <w:r>
        <w:rPr>
          <w:highlight w:val="none"/>
        </w:rPr>
      </w:r>
    </w:p>
    <w:p>
      <w:pPr>
        <w:jc w:val="both"/>
        <w:spacing w:line="113" w:lineRule="atLeas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highlight w:val="none"/>
        </w:rPr>
        <w:t xml:space="preserve"> </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招标公告</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投标人须知</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合同文本</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采购需求</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评标方法与评标标准</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投标文件格式</w:t>
      </w:r>
      <w:r>
        <w:rPr>
          <w:highlight w:val="none"/>
        </w:rPr>
      </w:r>
    </w:p>
    <w:p>
      <w:pPr>
        <w:rPr>
          <w:rFonts w:hint="eastAsia" w:asciiTheme="minorEastAsia" w:hAnsiTheme="minorEastAsia" w:cstheme="minorEastAsia"/>
          <w:highlight w:val="none"/>
        </w:rPr>
      </w:pPr>
      <w:r>
        <w:rPr>
          <w:rFonts w:hint="eastAsia" w:asciiTheme="minorEastAsia" w:hAnsiTheme="minorEastAsia" w:cstheme="minorEastAsia"/>
          <w:highlight w:val="none"/>
        </w:rPr>
        <w:br w:type="page" w:clear="all"/>
      </w:r>
      <w:r>
        <w:rPr>
          <w:highlight w:val="none"/>
        </w:rPr>
      </w:r>
    </w:p>
    <w:p>
      <w:pPr>
        <w:pStyle w:val="751"/>
        <w:jc w:val="center"/>
        <w:rPr>
          <w:rFonts w:hint="eastAsia" w:ascii="微软雅黑" w:hAnsi="微软雅黑" w:eastAsia="微软雅黑" w:cs="微软雅黑"/>
          <w:highlight w:val="none"/>
        </w:rPr>
      </w:pPr>
      <w:r>
        <w:rPr>
          <w:rFonts w:ascii="微软雅黑" w:hAnsi="微软雅黑" w:eastAsia="微软雅黑" w:cs="微软雅黑"/>
          <w:highlight w:val="none"/>
        </w:rPr>
        <w:t xml:space="preserve">第一章  </w:t>
      </w:r>
      <w:r>
        <w:rPr>
          <w:rFonts w:hint="eastAsia" w:ascii="微软雅黑" w:hAnsi="微软雅黑" w:eastAsia="微软雅黑" w:cs="微软雅黑"/>
          <w:highlight w:val="none"/>
        </w:rPr>
        <w:t xml:space="preserve">招标公告</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受[南通大学附属医院]的委托，</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就[</w:t>
      </w:r>
      <w:r>
        <w:rPr>
          <w:rFonts w:hint="eastAsia" w:ascii="仿宋" w:hAnsi="仿宋" w:eastAsia="仿宋" w:cs="仿宋"/>
          <w:sz w:val="28"/>
          <w:highlight w:val="none"/>
        </w:rPr>
        <w:t xml:space="preserve">高仿真模拟人采购项目</w:t>
      </w:r>
      <w:r>
        <w:rPr>
          <w:rFonts w:ascii="仿宋" w:hAnsi="仿宋" w:eastAsia="仿宋" w:cs="仿宋"/>
          <w:sz w:val="28"/>
          <w:highlight w:val="none"/>
        </w:rPr>
        <w:t xml:space="preserve">]([</w:t>
      </w:r>
      <w:r>
        <w:rPr>
          <w:rFonts w:hint="eastAsia" w:ascii="仿宋" w:hAnsi="仿宋" w:eastAsia="仿宋" w:cs="仿宋"/>
          <w:sz w:val="28"/>
          <w:highlight w:val="none"/>
          <w:lang w:eastAsia="zh-CN"/>
        </w:rPr>
        <w:t xml:space="preserve">JSZC-320600-SHGK-G2025-0155</w:t>
      </w:r>
      <w:r>
        <w:rPr>
          <w:rFonts w:ascii="仿宋" w:hAnsi="仿宋" w:eastAsia="仿宋" w:cs="仿宋"/>
          <w:sz w:val="28"/>
          <w:highlight w:val="none"/>
        </w:rPr>
        <w:t xml:space="preserve">])项目进行公开招标采购，欢迎符合条件的供应商投标。</w:t>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项目概况</w:t>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南通大学附属医院</w:t>
      </w:r>
      <w:r>
        <w:rPr>
          <w:rFonts w:hint="eastAsia" w:ascii="仿宋" w:hAnsi="仿宋" w:eastAsia="仿宋" w:cs="仿宋"/>
          <w:sz w:val="28"/>
          <w:highlight w:val="none"/>
        </w:rPr>
        <w:t xml:space="preserve">高仿真模拟人采购项目</w:t>
      </w:r>
      <w:r>
        <w:rPr>
          <w:rFonts w:ascii="仿宋" w:hAnsi="仿宋" w:eastAsia="仿宋" w:cs="仿宋"/>
          <w:sz w:val="28"/>
          <w:highlight w:val="none"/>
        </w:rPr>
        <w:t xml:space="preserve">的潜在投标人可在</w:t>
      </w:r>
      <w:r>
        <w:rPr>
          <w:rFonts w:ascii="仿宋" w:hAnsi="仿宋" w:eastAsia="仿宋" w:cs="仿宋"/>
          <w:sz w:val="28"/>
          <w:highlight w:val="none"/>
          <w:u w:val="single"/>
        </w:rPr>
        <w:t xml:space="preserve">“江苏政府采购网”自行免费下载</w:t>
      </w:r>
      <w:r>
        <w:rPr>
          <w:rFonts w:ascii="仿宋" w:hAnsi="仿宋" w:eastAsia="仿宋" w:cs="仿宋"/>
          <w:sz w:val="28"/>
          <w:highlight w:val="none"/>
        </w:rPr>
        <w:t xml:space="preserve">招标文件，并于</w:t>
      </w:r>
      <w:r>
        <w:rPr>
          <w:rFonts w:ascii="仿宋" w:hAnsi="仿宋" w:eastAsia="仿宋" w:cs="仿宋"/>
          <w:sz w:val="28"/>
          <w:highlight w:val="none"/>
          <w:u w:val="single"/>
        </w:rPr>
        <w:t xml:space="preserve">2025年</w:t>
      </w:r>
      <w:r>
        <w:rPr>
          <w:rFonts w:hint="eastAsia" w:ascii="仿宋" w:hAnsi="仿宋" w:eastAsia="仿宋" w:cs="仿宋"/>
          <w:sz w:val="28"/>
          <w:highlight w:val="none"/>
          <w:u w:val="single"/>
          <w:lang w:val="en-US" w:eastAsia="zh-CN"/>
        </w:rPr>
        <w:t xml:space="preserve">12</w:t>
      </w:r>
      <w:r>
        <w:rPr>
          <w:rFonts w:ascii="仿宋" w:hAnsi="仿宋" w:eastAsia="仿宋" w:cs="仿宋"/>
          <w:sz w:val="28"/>
          <w:highlight w:val="none"/>
          <w:u w:val="single"/>
        </w:rPr>
        <w:t xml:space="preserve">月</w:t>
      </w:r>
      <w:r>
        <w:rPr>
          <w:rFonts w:hint="eastAsia" w:ascii="仿宋" w:hAnsi="仿宋" w:eastAsia="仿宋" w:cs="仿宋"/>
          <w:sz w:val="28"/>
          <w:highlight w:val="none"/>
          <w:u w:val="single"/>
          <w:lang w:val="en-US" w:eastAsia="zh-CN"/>
        </w:rPr>
        <w:t xml:space="preserve">3</w:t>
      </w:r>
      <w:r>
        <w:rPr>
          <w:rFonts w:ascii="仿宋" w:hAnsi="仿宋" w:eastAsia="仿宋" w:cs="仿宋"/>
          <w:sz w:val="28"/>
          <w:highlight w:val="none"/>
          <w:u w:val="single"/>
        </w:rPr>
        <w:t xml:space="preserve">日</w:t>
      </w:r>
      <w:r>
        <w:rPr>
          <w:rFonts w:hint="eastAsia" w:ascii="仿宋" w:hAnsi="仿宋" w:eastAsia="仿宋" w:cs="仿宋"/>
          <w:sz w:val="28"/>
          <w:highlight w:val="none"/>
          <w:u w:val="single"/>
          <w:lang w:val="en-US" w:eastAsia="zh-CN"/>
        </w:rPr>
        <w:t xml:space="preserve">9</w:t>
      </w:r>
      <w:r>
        <w:rPr>
          <w:rFonts w:ascii="仿宋" w:hAnsi="仿宋" w:eastAsia="仿宋" w:cs="仿宋"/>
          <w:sz w:val="28"/>
          <w:highlight w:val="none"/>
          <w:u w:val="single"/>
        </w:rPr>
        <w:t xml:space="preserve">时</w:t>
      </w:r>
      <w:r>
        <w:rPr>
          <w:rFonts w:hint="eastAsia" w:ascii="仿宋" w:hAnsi="仿宋" w:eastAsia="仿宋" w:cs="仿宋"/>
          <w:sz w:val="28"/>
          <w:highlight w:val="none"/>
          <w:u w:val="single"/>
          <w:lang w:val="en-US" w:eastAsia="zh-CN"/>
        </w:rPr>
        <w:t xml:space="preserve">30</w:t>
      </w:r>
      <w:r>
        <w:rPr>
          <w:rFonts w:ascii="仿宋" w:hAnsi="仿宋" w:eastAsia="仿宋" w:cs="仿宋"/>
          <w:sz w:val="28"/>
          <w:highlight w:val="none"/>
          <w:u w:val="single"/>
        </w:rPr>
        <w:t xml:space="preserve">分（北京时间）</w:t>
      </w:r>
      <w:r>
        <w:rPr>
          <w:rFonts w:ascii="仿宋" w:hAnsi="仿宋" w:eastAsia="仿宋" w:cs="仿宋"/>
          <w:sz w:val="28"/>
          <w:highlight w:val="none"/>
        </w:rPr>
        <w:t xml:space="preserve">前递交投标文件。</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一、项目基本情况</w:t>
      </w:r>
      <w:r>
        <w:rPr>
          <w:highlight w:val="none"/>
        </w:rPr>
      </w:r>
    </w:p>
    <w:p>
      <w:pPr>
        <w:ind w:firstLine="560"/>
        <w:jc w:val="both"/>
        <w:spacing w:line="479" w:lineRule="atLeast"/>
        <w:rPr>
          <w:rFonts w:hint="eastAsia"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1.项目编号：</w:t>
      </w:r>
      <w:r>
        <w:rPr>
          <w:rFonts w:hint="eastAsia" w:ascii="仿宋" w:hAnsi="仿宋" w:eastAsia="仿宋" w:cs="仿宋"/>
          <w:sz w:val="28"/>
          <w:highlight w:val="none"/>
          <w:lang w:eastAsia="zh-CN"/>
        </w:rPr>
        <w:t xml:space="preserve">JSZC-320600-SHGK-G2025-0155</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2.项目名称：南通大学附属医院</w:t>
      </w:r>
      <w:r>
        <w:rPr>
          <w:rFonts w:hint="eastAsia" w:ascii="仿宋" w:hAnsi="仿宋" w:eastAsia="仿宋" w:cs="仿宋"/>
          <w:sz w:val="28"/>
          <w:highlight w:val="none"/>
        </w:rPr>
        <w:t xml:space="preserve">高仿真模拟人采购项目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3.采购需求：</w:t>
      </w:r>
      <w:r>
        <w:rPr>
          <w:highlight w:val="none"/>
        </w:rPr>
      </w:r>
    </w:p>
    <w:tbl>
      <w:tblPr>
        <w:tblStyle w:val="78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760"/>
        <w:gridCol w:w="1067"/>
        <w:gridCol w:w="1913"/>
        <w:gridCol w:w="213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设备名称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采购预算</w:t>
            </w:r>
            <w:r>
              <w:rPr>
                <w:highlight w:val="none"/>
              </w:rP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（人民币）</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是否接受进口产品投标</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rFonts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高仿真模拟人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w:t>
            </w:r>
            <w:r>
              <w:rPr>
                <w:rFonts w:ascii="仿宋" w:hAnsi="仿宋" w:eastAsia="仿宋" w:cs="仿宋"/>
                <w:sz w:val="28"/>
                <w:highlight w:val="none"/>
              </w:rPr>
              <w:t xml:space="preserve">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150</w:t>
            </w:r>
            <w:r>
              <w:rPr>
                <w:rFonts w:ascii="仿宋" w:hAnsi="仿宋" w:eastAsia="仿宋" w:cs="仿宋"/>
                <w:sz w:val="28"/>
                <w:highlight w:val="none"/>
              </w:rPr>
              <w:t xml:space="preserve">万元</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接受</w:t>
            </w:r>
            <w:r>
              <w:rPr>
                <w:highlight w:val="none"/>
              </w:rPr>
            </w:r>
          </w:p>
        </w:tc>
      </w:tr>
    </w:tbl>
    <w:p>
      <w:pPr>
        <w:ind w:firstLine="567"/>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4.最高限</w:t>
      </w:r>
      <w:r>
        <w:rPr>
          <w:rFonts w:ascii="仿宋" w:hAnsi="仿宋" w:eastAsia="仿宋" w:cs="仿宋"/>
          <w:sz w:val="28"/>
          <w:highlight w:val="none"/>
        </w:rPr>
        <w:t xml:space="preserve">价：</w:t>
      </w:r>
      <w:r>
        <w:rPr>
          <w:rFonts w:hint="eastAsia" w:ascii="仿宋" w:hAnsi="仿宋" w:eastAsia="仿宋" w:cs="仿宋"/>
          <w:sz w:val="28"/>
          <w:highlight w:val="none"/>
        </w:rPr>
        <w:t xml:space="preserve">150</w:t>
      </w:r>
      <w:r>
        <w:rPr>
          <w:rFonts w:ascii="仿宋" w:hAnsi="仿宋" w:eastAsia="仿宋" w:cs="仿宋"/>
          <w:sz w:val="28"/>
          <w:highlight w:val="none"/>
        </w:rPr>
        <w:t xml:space="preserve">万元</w:t>
      </w:r>
      <w:r>
        <w:rPr>
          <w:rFonts w:hint="eastAsia" w:ascii="仿宋" w:hAnsi="仿宋" w:eastAsia="仿宋" w:cs="仿宋"/>
          <w:sz w:val="28"/>
          <w:highlight w:val="none"/>
        </w:rPr>
        <w:t xml:space="preserve">（投标人投标报价不得超过上述限价金额，否则将作无效标处理）</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5.合同履行期限：合</w:t>
      </w:r>
      <w:r>
        <w:rPr>
          <w:rFonts w:hint="eastAsia" w:ascii="仿宋" w:hAnsi="仿宋" w:eastAsia="仿宋" w:cs="仿宋"/>
          <w:sz w:val="28"/>
          <w:highlight w:val="none"/>
        </w:rPr>
        <w:t xml:space="preserve">同签订之日起30日内</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二、申请人的资格要求：</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（一）通用资格要求</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1.满足《中华人民共和国政府采购法》第二十二条规定。</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0" w:name="_Hlk209172908"/>
      <w:r>
        <w:rPr>
          <w:rFonts w:hint="eastAsia" w:ascii="仿宋" w:hAnsi="仿宋" w:eastAsia="仿宋" w:cs="仿宋"/>
          <w:sz w:val="28"/>
          <w:highlight w:val="none"/>
        </w:rPr>
        <w:t xml:space="preserve">1.1具有独立承担民事责任的能力（提供法人或者其他组织的营业执照等证明文件，自然人的身份证明）</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1.2具有良好的商业信誉和健全的财务会计制度（提供上一年度的财务状况报告，成立不满一年不需提供）</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1.3有依法缴纳税收和社会保障资金的良好记录（依法纳税凭据：提供参加政府采购活动前半年内（2025年0</w:t>
      </w:r>
      <w:r>
        <w:rPr>
          <w:rFonts w:hint="eastAsia" w:ascii="仿宋" w:hAnsi="仿宋" w:eastAsia="仿宋" w:cs="仿宋"/>
          <w:sz w:val="28"/>
          <w:highlight w:val="none"/>
          <w:lang w:val="en-US" w:eastAsia="zh-CN"/>
        </w:rPr>
        <w:t xml:space="preserve">6</w:t>
      </w:r>
      <w:r>
        <w:rPr>
          <w:rFonts w:hint="eastAsia" w:ascii="仿宋" w:hAnsi="仿宋" w:eastAsia="仿宋" w:cs="仿宋"/>
          <w:sz w:val="28"/>
          <w:highlight w:val="none"/>
        </w:rPr>
        <w:t xml:space="preserve">月-2025年</w:t>
      </w:r>
      <w:r>
        <w:rPr>
          <w:rFonts w:hint="eastAsia" w:ascii="仿宋" w:hAnsi="仿宋" w:eastAsia="仿宋" w:cs="仿宋"/>
          <w:sz w:val="28"/>
          <w:highlight w:val="none"/>
          <w:lang w:val="en-US" w:eastAsia="zh-CN"/>
        </w:rPr>
        <w:t xml:space="preserve">11</w:t>
      </w:r>
      <w:r>
        <w:rPr>
          <w:rFonts w:hint="eastAsia" w:ascii="仿宋" w:hAnsi="仿宋" w:eastAsia="仿宋" w:cs="仿宋"/>
          <w:sz w:val="28"/>
          <w:highlight w:val="none"/>
        </w:rPr>
        <w:t xml:space="preserve">月）的任一月依法纳税的凭据，如完税凭证或税务机关开具的完税证明（个人所得税除外）；缴纳社会保险的凭据：提供参加政府采购活动前半年内（2025年0</w:t>
      </w:r>
      <w:r>
        <w:rPr>
          <w:rFonts w:hint="eastAsia" w:ascii="仿宋" w:hAnsi="仿宋" w:eastAsia="仿宋" w:cs="仿宋"/>
          <w:sz w:val="28"/>
          <w:highlight w:val="none"/>
          <w:lang w:val="en-US" w:eastAsia="zh-CN"/>
        </w:rPr>
        <w:t xml:space="preserve">6</w:t>
      </w:r>
      <w:r>
        <w:rPr>
          <w:rFonts w:hint="eastAsia" w:ascii="仿宋" w:hAnsi="仿宋" w:eastAsia="仿宋" w:cs="仿宋"/>
          <w:sz w:val="28"/>
          <w:highlight w:val="none"/>
        </w:rPr>
        <w:t xml:space="preserve">月-2025年</w:t>
      </w:r>
      <w:r>
        <w:rPr>
          <w:rFonts w:hint="eastAsia" w:ascii="仿宋" w:hAnsi="仿宋" w:eastAsia="仿宋" w:cs="仿宋"/>
          <w:sz w:val="28"/>
          <w:highlight w:val="none"/>
          <w:lang w:val="en-US" w:eastAsia="zh-CN"/>
        </w:rPr>
        <w:t xml:space="preserve">11</w:t>
      </w:r>
      <w:r>
        <w:rPr>
          <w:rFonts w:hint="eastAsia" w:ascii="仿宋" w:hAnsi="仿宋" w:eastAsia="仿宋" w:cs="仿宋"/>
          <w:sz w:val="28"/>
          <w:highlight w:val="none"/>
        </w:rPr>
        <w:t xml:space="preserve">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w:t>
      </w:r>
      <w:r>
        <w:rPr>
          <w:rFonts w:ascii="仿宋" w:hAnsi="仿宋" w:eastAsia="仿宋" w:cs="仿宋"/>
          <w:sz w:val="28"/>
          <w:highlight w:val="none"/>
        </w:rPr>
        <w:t xml:space="preserve">4</w:t>
      </w:r>
      <w:r>
        <w:rPr>
          <w:rFonts w:hint="eastAsia" w:ascii="仿宋" w:hAnsi="仿宋" w:eastAsia="仿宋" w:cs="仿宋"/>
          <w:sz w:val="28"/>
          <w:highlight w:val="none"/>
        </w:rPr>
        <w:t xml:space="preserve">具有履行合同所必需的设备和专业技术能力（提供书面声明）</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1.5参加采购活动前3年内在经营活动中没有重大违法记录（提供书面声明）</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1.6法律、行政法规规定的其他条件（提供书面声明）。</w:t>
      </w:r>
      <w:bookmarkEnd w:id="0"/>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3.本项目不接受联合体投标。</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4.本项目不接受转包、分包。</w:t>
      </w:r>
      <w:r>
        <w:rPr>
          <w:highlight w:val="none"/>
        </w:rPr>
      </w:r>
    </w:p>
    <w:p>
      <w:pPr>
        <w:ind w:firstLine="560"/>
        <w:rPr>
          <w:rFonts w:hint="eastAsia" w:ascii="仿宋" w:hAnsi="仿宋" w:eastAsia="仿宋" w:cs="仿宋"/>
          <w:sz w:val="28"/>
          <w:highlight w:val="none"/>
        </w:rPr>
      </w:pPr>
      <w:r>
        <w:rPr>
          <w:rFonts w:ascii="仿宋" w:hAnsi="仿宋" w:eastAsia="仿宋" w:cs="仿宋"/>
          <w:sz w:val="28"/>
          <w:highlight w:val="none"/>
        </w:rPr>
        <w:t xml:space="preserve">（二）</w:t>
      </w:r>
      <w:r>
        <w:rPr>
          <w:rFonts w:hint="eastAsia" w:ascii="仿宋" w:hAnsi="仿宋" w:eastAsia="仿宋" w:cs="仿宋"/>
          <w:sz w:val="28"/>
          <w:highlight w:val="none"/>
        </w:rPr>
        <w:t xml:space="preserve">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三</w:t>
      </w:r>
      <w:r>
        <w:rPr>
          <w:rFonts w:ascii="仿宋" w:hAnsi="仿宋" w:eastAsia="仿宋" w:cs="仿宋"/>
          <w:sz w:val="28"/>
          <w:highlight w:val="none"/>
        </w:rPr>
        <w:t xml:space="preserve">）本项目的特定资格要求</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1" w:name="_Hlk205775775"/>
      <w:r>
        <w:rPr>
          <w:rFonts w:hint="eastAsia" w:ascii="仿宋" w:hAnsi="仿宋" w:eastAsia="仿宋" w:cs="仿宋"/>
          <w:sz w:val="28"/>
          <w:highlight w:val="none"/>
        </w:rPr>
        <w:t xml:space="preserve">（1</w:t>
      </w:r>
      <w:r>
        <w:rPr>
          <w:rFonts w:ascii="仿宋" w:hAnsi="仿宋" w:eastAsia="仿宋" w:cs="仿宋"/>
          <w:sz w:val="28"/>
          <w:highlight w:val="none"/>
        </w:rPr>
        <w:t xml:space="preserve">）</w:t>
      </w:r>
      <w:r>
        <w:rPr>
          <w:rFonts w:hint="eastAsia" w:ascii="仿宋" w:hAnsi="仿宋" w:eastAsia="仿宋" w:cs="仿宋"/>
          <w:sz w:val="28"/>
          <w:highlight w:val="none"/>
        </w:rPr>
        <w:t xml:space="preserve">本项目接受产品经销商投标，投标产品如果为进口货物的，投标人须提供有效的制造商的授权书（复印件）。</w:t>
      </w:r>
      <w:bookmarkEnd w:id="1"/>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三、获取招标文件</w:t>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1.时间：自招标文件公告发布之日起5个工作日。</w:t>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2.方式：在“江苏政府采购网”自行免费下载招标文件。</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四、提交投标文件截止时间、开标时间和地点</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w:t>
      </w:r>
      <w:r>
        <w:rPr>
          <w:rFonts w:ascii="仿宋" w:hAnsi="仿宋" w:eastAsia="仿宋" w:cs="仿宋"/>
          <w:sz w:val="28"/>
          <w:highlight w:val="none"/>
          <w:u w:val="single"/>
        </w:rPr>
        <w:t xml:space="preserve">2025年</w:t>
      </w:r>
      <w:r>
        <w:rPr>
          <w:rFonts w:hint="eastAsia" w:ascii="仿宋" w:hAnsi="仿宋" w:eastAsia="仿宋" w:cs="仿宋"/>
          <w:sz w:val="28"/>
          <w:highlight w:val="none"/>
          <w:u w:val="single"/>
          <w:lang w:val="en-US" w:eastAsia="zh-CN"/>
        </w:rPr>
        <w:t xml:space="preserve">12</w:t>
      </w:r>
      <w:r>
        <w:rPr>
          <w:rFonts w:ascii="仿宋" w:hAnsi="仿宋" w:eastAsia="仿宋" w:cs="仿宋"/>
          <w:sz w:val="28"/>
          <w:highlight w:val="none"/>
          <w:u w:val="single"/>
        </w:rPr>
        <w:t xml:space="preserve">月</w:t>
      </w:r>
      <w:r>
        <w:rPr>
          <w:rFonts w:hint="eastAsia" w:ascii="仿宋" w:hAnsi="仿宋" w:eastAsia="仿宋" w:cs="仿宋"/>
          <w:sz w:val="28"/>
          <w:highlight w:val="none"/>
          <w:u w:val="single"/>
          <w:lang w:val="en-US" w:eastAsia="zh-CN"/>
        </w:rPr>
        <w:t xml:space="preserve">3</w:t>
      </w:r>
      <w:r>
        <w:rPr>
          <w:rFonts w:ascii="仿宋" w:hAnsi="仿宋" w:eastAsia="仿宋" w:cs="仿宋"/>
          <w:sz w:val="28"/>
          <w:highlight w:val="none"/>
          <w:u w:val="single"/>
        </w:rPr>
        <w:t xml:space="preserve">日</w:t>
      </w:r>
      <w:r>
        <w:rPr>
          <w:rFonts w:hint="eastAsia" w:ascii="仿宋" w:hAnsi="仿宋" w:eastAsia="仿宋" w:cs="仿宋"/>
          <w:sz w:val="28"/>
          <w:highlight w:val="none"/>
          <w:u w:val="single"/>
          <w:lang w:val="en-US" w:eastAsia="zh-CN"/>
        </w:rPr>
        <w:t xml:space="preserve">9</w:t>
      </w:r>
      <w:r>
        <w:rPr>
          <w:rFonts w:ascii="仿宋" w:hAnsi="仿宋" w:eastAsia="仿宋" w:cs="仿宋"/>
          <w:sz w:val="28"/>
          <w:highlight w:val="none"/>
          <w:u w:val="single"/>
        </w:rPr>
        <w:t xml:space="preserve">时</w:t>
      </w:r>
      <w:r>
        <w:rPr>
          <w:rFonts w:hint="eastAsia" w:ascii="仿宋" w:hAnsi="仿宋" w:eastAsia="仿宋" w:cs="仿宋"/>
          <w:sz w:val="28"/>
          <w:highlight w:val="none"/>
          <w:u w:val="single"/>
          <w:lang w:val="en-US" w:eastAsia="zh-CN"/>
        </w:rPr>
        <w:t xml:space="preserve">30</w:t>
      </w:r>
      <w:r>
        <w:rPr>
          <w:rFonts w:ascii="仿宋" w:hAnsi="仿宋" w:eastAsia="仿宋" w:cs="仿宋"/>
          <w:sz w:val="28"/>
          <w:highlight w:val="none"/>
          <w:u w:val="single"/>
        </w:rPr>
        <w:t xml:space="preserve">分（北京时间）</w:t>
      </w: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2.地点：“苏采云”政府采购交易系统网上开标大厅。</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五、公告期限</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招标公告及招标文件公告期限为自本公告发布之日起5个工作日。</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六、其他补充事宜</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1.投标保证金：免收</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w:t>
      </w:r>
      <w:r>
        <w:rPr>
          <w:rFonts w:ascii="仿宋" w:hAnsi="仿宋" w:eastAsia="仿宋" w:cs="仿宋"/>
          <w:sz w:val="28"/>
          <w:highlight w:val="none"/>
        </w:rPr>
        <w:t xml:space="preserve">.</w:t>
      </w:r>
      <w:r>
        <w:rPr>
          <w:rFonts w:hint="eastAsia" w:ascii="仿宋" w:hAnsi="仿宋" w:eastAsia="仿宋" w:cs="仿宋"/>
          <w:sz w:val="28"/>
          <w:highlight w:val="none"/>
        </w:rPr>
        <w:t xml:space="preserve">履约保证金：免收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3.项目演示、样品、答辩等：无。</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4.有关本次招标的事项若存在变动或修改，均以江苏政府采购网发布的更正或补充通知为准，敬请及时关注。</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 “苏采云”系统使用相关提醒</w:t>
      </w:r>
      <w:r>
        <w:rPr>
          <w:highlight w:val="none"/>
        </w:rPr>
      </w:r>
    </w:p>
    <w:p>
      <w:pPr>
        <w:ind w:firstLine="560"/>
        <w:jc w:val="both"/>
        <w:spacing w:line="47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仿宋" w:hAnsi="仿宋" w:eastAsia="仿宋" w:cs="仿宋"/>
          <w:b/>
          <w:sz w:val="28"/>
          <w:highlight w:val="none"/>
        </w:rPr>
        <w:t xml:space="preserve">具体办理指南和操作手册见链接：http://www.ccgp-jiangsu.gov.cn/jiangsu/zlxz/ee/ee3a4bc5a3454aa2b0d9312230633ce9.html。</w:t>
      </w:r>
      <w:r>
        <w:rPr>
          <w:highlight w:val="none"/>
        </w:rPr>
      </w:r>
    </w:p>
    <w:p>
      <w:pPr>
        <w:ind w:firstLine="560"/>
        <w:jc w:val="both"/>
        <w:spacing w:after="120"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6.2领取CA和办理电子签章请至南通市政务服务中心裙楼四楼（南通市公共资源交中心）CA办理窗口办理，详见《江苏省政府采购数字证书(供应商)</w:t>
      </w:r>
      <w:r>
        <w:rPr>
          <w:rFonts w:ascii="宋体" w:hAnsi="宋体" w:eastAsia="宋体" w:cs="宋体"/>
          <w:sz w:val="28"/>
          <w:highlight w:val="none"/>
        </w:rPr>
        <w:t xml:space="preserve"> </w:t>
      </w:r>
      <w:r>
        <w:rPr>
          <w:rFonts w:ascii="仿宋" w:hAnsi="仿宋" w:eastAsia="仿宋" w:cs="仿宋"/>
          <w:sz w:val="28"/>
          <w:highlight w:val="none"/>
        </w:rPr>
        <w:t xml:space="preserve">CA及电子签章办理指南》），请及时进行注册并按要求制作、上传电子投标文件。</w:t>
      </w:r>
      <w:r>
        <w:rPr>
          <w:highlight w:val="none"/>
        </w:rPr>
      </w:r>
    </w:p>
    <w:p>
      <w:pPr>
        <w:ind w:firstLine="560"/>
        <w:jc w:val="both"/>
        <w:spacing w:after="120"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6.3</w:t>
      </w:r>
      <w:r>
        <w:rPr>
          <w:rFonts w:hint="eastAsia" w:ascii="仿宋" w:hAnsi="仿宋" w:eastAsia="仿宋" w:cs="仿宋"/>
          <w:sz w:val="28"/>
          <w:highlight w:val="none"/>
        </w:rPr>
        <w:t xml:space="preserve">参与采购活动：供应商插入CA证书登录“苏采云”系统后选择具体项目，点击“我要参与</w:t>
      </w:r>
      <w:r>
        <w:rPr>
          <w:rFonts w:hint="eastAsia" w:ascii="仿宋" w:hAnsi="仿宋" w:eastAsia="仿宋" w:cs="仿宋"/>
          <w:sz w:val="28"/>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不做为供应商权益收到损害的证明材料和依据。</w:t>
      </w:r>
      <w:r>
        <w:rPr>
          <w:highlight w:val="none"/>
        </w:rPr>
      </w:r>
    </w:p>
    <w:p>
      <w:pPr>
        <w:ind w:right="120" w:firstLine="562"/>
        <w:jc w:val="both"/>
        <w:spacing w:after="12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6.4</w:t>
      </w:r>
      <w:r>
        <w:rPr>
          <w:rFonts w:ascii="仿宋" w:hAnsi="仿宋" w:eastAsia="仿宋" w:cs="仿宋"/>
          <w:sz w:val="28"/>
          <w:highlight w:val="none"/>
        </w:rPr>
        <w:t xml:space="preserve">开标当天投标供应商应及时登录“苏采云”不见面开标大厅，并在规定时间内自行实施远程解密。</w:t>
      </w:r>
      <w:r>
        <w:rPr>
          <w:rFonts w:ascii="仿宋" w:hAnsi="仿宋" w:eastAsia="仿宋" w:cs="仿宋"/>
          <w:b/>
          <w:sz w:val="28"/>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七、本次招标联系方式</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1.采购人信息</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名 称：南通大学附属医院</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地 址：南通市西寺路20号</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联系人：施老师、张老师 </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联系方式：0513-85052089</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2.采购代理机构信息</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 称：</w:t>
      </w:r>
      <w:r>
        <w:rPr>
          <w:rFonts w:hint="eastAsia" w:ascii="仿宋" w:hAnsi="仿宋" w:eastAsia="仿宋" w:cs="仿宋"/>
          <w:sz w:val="28"/>
          <w:highlight w:val="none"/>
        </w:rPr>
        <w:t xml:space="preserve">江苏苏豪创新科技集团高科有限公司</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址：南京市雨花台区软件大道21号</w:t>
      </w:r>
      <w:r>
        <w:rPr>
          <w:rFonts w:hint="eastAsia" w:ascii="仿宋" w:hAnsi="仿宋" w:eastAsia="仿宋" w:cs="仿宋"/>
          <w:sz w:val="28"/>
          <w:highlight w:val="none"/>
        </w:rPr>
        <w:t xml:space="preserve">苏豪</w:t>
      </w:r>
      <w:r>
        <w:rPr>
          <w:rFonts w:ascii="仿宋" w:hAnsi="仿宋" w:eastAsia="仿宋" w:cs="仿宋"/>
          <w:sz w:val="28"/>
          <w:highlight w:val="none"/>
        </w:rPr>
        <w:t xml:space="preserve">集团C座110室</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联系人：吴志叶、</w:t>
      </w:r>
      <w:r>
        <w:rPr>
          <w:rFonts w:hint="eastAsia" w:ascii="仿宋" w:hAnsi="仿宋" w:eastAsia="仿宋" w:cs="仿宋"/>
          <w:sz w:val="28"/>
          <w:highlight w:val="none"/>
        </w:rPr>
        <w:t xml:space="preserve">吴岢非</w:t>
      </w:r>
      <w:r>
        <w:rPr>
          <w:highlight w:val="none"/>
        </w:rPr>
      </w:r>
    </w:p>
    <w:p>
      <w:pPr>
        <w:ind w:firstLine="560"/>
        <w:jc w:val="both"/>
        <w:spacing w:line="479" w:lineRule="atLeast"/>
        <w:rPr>
          <w:rFonts w:eastAsia="Times New Roman"/>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联系方式：025-52875936</w:t>
      </w:r>
      <w:r>
        <w:rPr>
          <w:rFonts w:hint="eastAsia" w:ascii="仿宋" w:hAnsi="仿宋" w:eastAsia="仿宋" w:cs="仿宋"/>
          <w:sz w:val="28"/>
          <w:highlight w:val="none"/>
        </w:rPr>
        <w:t xml:space="preserve">、</w:t>
      </w:r>
      <w:r>
        <w:rPr>
          <w:rFonts w:ascii="仿宋" w:hAnsi="仿宋" w:eastAsia="仿宋" w:cs="仿宋"/>
          <w:sz w:val="28"/>
          <w:highlight w:val="none"/>
        </w:rPr>
        <w:t xml:space="preserve">025-52875983</w:t>
      </w:r>
      <w:r>
        <w:rPr>
          <w:rFonts w:eastAsia="Times New Roman"/>
          <w:sz w:val="28"/>
          <w:highlight w:val="none"/>
        </w:rPr>
        <w:br w:type="page" w:clear="all"/>
      </w:r>
      <w:r>
        <w:rPr>
          <w:highlight w:val="none"/>
        </w:rPr>
      </w:r>
    </w:p>
    <w:p>
      <w:pPr>
        <w:pStyle w:val="751"/>
        <w:jc w:val="center"/>
        <w:rPr>
          <w:rFonts w:hint="eastAsia" w:ascii="宋体" w:hAnsi="宋体" w:eastAsia="宋体" w:cs="宋体"/>
          <w:highlight w:val="none"/>
        </w:rPr>
      </w:pPr>
      <w:r>
        <w:rPr>
          <w:rFonts w:hint="eastAsia" w:ascii="宋体" w:hAnsi="宋体" w:eastAsia="宋体" w:cs="宋体"/>
          <w:highlight w:val="none"/>
        </w:rPr>
        <w:t xml:space="preserve">第二章  投标人须知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一、总则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1.招标方式</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 本次招标采取公开招标方式，本招标文件仅适用于招标公告中所述项目。</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2.合格的投标人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2.1满足招标公告中供应商的资格要求的规定。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 满足本文件实质性条款的规定。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3.适用法律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本次招标及由此产生的合同受中华人民共和国有关的法律法规制约和保护。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4.投标费用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4.1 投标人应自行承担所有与参加投标有关的费用，无论投标过程中的做法和结果如何，</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（以下简称代理机构）在任何情况下均无义务和责任承担这些费用。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4.2本次招标代理机构和采购人不收取标书工本费。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4.3</w:t>
      </w:r>
      <w:r>
        <w:rPr>
          <w:rFonts w:hint="eastAsia" w:ascii="仿宋" w:hAnsi="仿宋" w:eastAsia="仿宋" w:cs="仿宋"/>
          <w:sz w:val="28"/>
          <w:highlight w:val="none"/>
        </w:rPr>
        <w:t xml:space="preserve">中标人向采购代理机构支付招标服务费，服务费按计价格〔2002〕1980号《招标代理服务收费管理暂行办法》标准的</w:t>
      </w:r>
      <w:r>
        <w:rPr>
          <w:rFonts w:ascii="仿宋" w:hAnsi="仿宋" w:eastAsia="仿宋" w:cs="仿宋"/>
          <w:sz w:val="28"/>
          <w:highlight w:val="none"/>
        </w:rPr>
        <w:t xml:space="preserve">52.67%</w:t>
      </w:r>
      <w:r>
        <w:rPr>
          <w:rFonts w:hint="eastAsia" w:ascii="仿宋" w:hAnsi="仿宋" w:eastAsia="仿宋" w:cs="仿宋"/>
          <w:sz w:val="28"/>
          <w:highlight w:val="none"/>
        </w:rPr>
        <w:t xml:space="preserve">计取。单个项目代理服务费不足1500元的按1500元收取。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开户名：江苏苏豪创新科技集团高科有限公司</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开户行：工行南京市白下支行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号：4301013119100888895</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5.招标文件的约束力</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5.1 投标人一旦参加本项目采购活动，即被认为接受了本招标文件的规定和约束。</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二、招标文件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6、招标文件构成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 招标文件由以下部分组成：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（1）投标邀请</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（2）投标人须知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（3）合同文本</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（4）采购需求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（5）评标方法与评标标准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（6）投标文件格式</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请仔细检查招标文件是否齐全，如有缺漏请立即与代理机构联系解决。</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7、招标文件的澄清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任何要求对招标文件进行澄清的投标人，应在投标截止期</w:t>
      </w:r>
      <w:r>
        <w:rPr>
          <w:rFonts w:hint="eastAsia" w:ascii="仿宋" w:hAnsi="仿宋" w:eastAsia="仿宋" w:cs="仿宋"/>
          <w:b/>
          <w:sz w:val="28"/>
          <w:highlight w:val="none"/>
        </w:rPr>
        <w:t xml:space="preserve">15</w:t>
      </w:r>
      <w:r>
        <w:rPr>
          <w:rFonts w:ascii="仿宋" w:hAnsi="仿宋" w:eastAsia="仿宋" w:cs="仿宋"/>
          <w:b/>
          <w:sz w:val="28"/>
          <w:highlight w:val="none"/>
        </w:rPr>
        <w:t xml:space="preserve">日</w:t>
      </w:r>
      <w:r>
        <w:rPr>
          <w:rFonts w:ascii="仿宋" w:hAnsi="仿宋" w:eastAsia="仿宋" w:cs="仿宋"/>
          <w:sz w:val="28"/>
          <w:highlight w:val="none"/>
        </w:rPr>
        <w:t xml:space="preserve">前按招标公告中的通讯地址，以书面形式通知代理机构。采购人有权对发出的招标文件进行必要的澄清或修改。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8、招标文件的修改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8.1 在投标截止时间前，代理机构可以对招标文件进行修改。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8.2 代理机构有权按照法定的要求推迟投标截止日期和开标日期。</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8.3 招标文件的修改将在江苏政府采购网公布，补充文件将作为招标文件的组成部分，并对投标人具有约束力。</w:t>
      </w:r>
      <w:r>
        <w:rPr>
          <w:highlight w:val="none"/>
        </w:rPr>
      </w:r>
    </w:p>
    <w:p>
      <w:pPr>
        <w:jc w:val="both"/>
        <w:spacing w:line="479" w:lineRule="atLeast"/>
        <w:rPr>
          <w:rFonts w:hint="eastAsia" w:ascii="仿宋" w:hAnsi="仿宋" w:eastAsia="仿宋" w:cs="仿宋"/>
          <w:b/>
          <w:bCs/>
          <w:sz w:val="28"/>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highlight w:val="none"/>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三、投标文件的编制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9、投标文件的语言及度量衡单位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9.1 投标人提交的投标文件以及投标人与代理机构就有关投标的所有来往通知、函件和文件均应使用简体中文。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9.2 除技术性能另有规定外，投标文件所使用的度量衡单位，均须采用国家法定计量单位。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10、投标文件构成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10.2 如标书制作工具中格式和内容与“江苏政府采购网”发布的招标文件不一致，请以“江苏政府采购网”发布的招标文件为准。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11、证明投标人及投标标的符合招标文件规定的文件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11.1 投标人应按照招标文件要求提交证明文件，证明其及投标标的符合招标文件规定。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11.2招标文件对证明文件无明确形式要求的，证明文件可以以文字资料、图纸和数据等形式提交。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12、投标分项报价表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12.1 投标人按照招标文件规定格式填报投标分项报价表。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12.2投标货币。投标文件中的单价和总价无特殊规定的采用人民币报价，以元为单位标注。招标文件中另有规定的按规定执行。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13、技术要求响应及偏离表、商务要求响应及偏离表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13.1投标人需对招标文件中的技术要求与商务要求逐项作出响应或偏离，并说明原因。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13.2投标人需按照招标文件要求，在投标文件中提供与技术要求和商务要求相关的证明材料。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14、服务承诺、培训计划、人员安排及其他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14.1 投标人需根据招标文件要求提供有关售后服务的管理制度，售后服务机构的分布情况，售后服务人员的数量、素质、技术水平及售后服务的反应能力等。</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14.2 投标人需根据招标文件要求提供培训计划。</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14.3  投标人需根据招标文件要求提供所投标的的主要组成部分、功能设计、实现思路及关键技术等。</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15、投标函和开标一览表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15.1 投标人应按照招标文件中提供的格式完整、正确填写投标函、开标一览表。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15.2 </w:t>
      </w:r>
      <w:r>
        <w:rPr>
          <w:rFonts w:ascii="仿宋" w:hAnsi="仿宋" w:eastAsia="仿宋" w:cs="仿宋"/>
          <w:b/>
          <w:sz w:val="28"/>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16、投标有效期</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16.1投标有效期为代理机构规定的开标之日后</w:t>
      </w:r>
      <w:r>
        <w:rPr>
          <w:rFonts w:ascii="仿宋" w:hAnsi="仿宋" w:eastAsia="仿宋" w:cs="仿宋"/>
          <w:b/>
          <w:sz w:val="28"/>
          <w:highlight w:val="none"/>
          <w:u w:val="single"/>
        </w:rPr>
        <w:t xml:space="preserve">九十（90）天</w:t>
      </w:r>
      <w:r>
        <w:rPr>
          <w:rFonts w:ascii="仿宋" w:hAnsi="仿宋" w:eastAsia="仿宋" w:cs="仿宋"/>
          <w:sz w:val="28"/>
          <w:highlight w:val="none"/>
        </w:rPr>
        <w:t xml:space="preserve">。投标有效期比规定短的将被视为未实质性响应招标文件而予以拒绝。</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17、投标有效期的延长</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四、投标文件的递交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18、电子投标文件的递交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18.1投标人应当按照《操作手册》规定，在投标截止时间前制作并上传电子投标文件。</w:t>
      </w:r>
      <w:r>
        <w:rPr>
          <w:highlight w:val="none"/>
        </w:rPr>
      </w:r>
    </w:p>
    <w:p>
      <w:pPr>
        <w:jc w:val="both"/>
        <w:spacing w:before="280" w:after="29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19、投标截止日期</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u w:val="single"/>
        </w:rPr>
        <w:t xml:space="preserve">19.1 投标人上传电子投标文件的时间不得迟于招标公告中规定的投标截止时间。</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20、投标文件的拒收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20.1 代理机构拒绝接收在其规定的投标截止时间后上传的任何投标文件。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21、投标文件的撤回和修改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 投标文件的撤回</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21.1.1 电子投标文件的撤回</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投标人可在投标截止时间前，撤回其电子投标文件，具体操作方法见《操作手册》。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21.1.2 投标人撤回电子投标文件，则认为其不再参与本项目投标活动。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 投标文件的修改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21.2.1投标人可在投标截止时间前，对其电子投标文件进行修改，具体操作方法见《操作手册》。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21.2.2 在投标截止时间之后，投标人不得对其电子投标文件作任何修改。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21.3 在投标截止时间至招标文件中规定的投标有效期满之间的这段时间内，投标人不得撤回其投标。</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五、开标与评标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22、开标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22.1代理机构将在招标公告中规定的时间和地点组织公开开标。投标人应当按照《操作手册》规定，参加开标活动和在苏采云系统规定的时间内对投标文件进行解密。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22.2开标仪式由代理机构组织。苏采云系统将自动对项目进行开标，并宣布各投标人名称和投标价格。</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22.3投标人在开标过程中涉及到的投标文件解密、开标结果确认等工作，应按照《操作手册》规定执行。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22.4投标人如果对开标过程和开标记录有疑义，应当根据《操作手册》规定提出，如苏采云系统中《开标记录表》宣布后5分钟内未提出的，视同认可开标结果。</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23、评标委员会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23.1开标后，代理机构将立即组织评标委员会（以下简称评委会）进行评标。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23.2 评委会由采购人代表和有关技术、经济等方面的专家组成，且人员构成符合政府采购有关规定。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23.3评委会独立工作，负责评审所有投标文件并确定中标侯选人。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24．评标过程的保密与公正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24.1凡是与审查、澄清、评价和比较投标的有关资料以及授标建议等，采购人、评委、代理机构均不得向投标人或与评标无关的其他人员透露。</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24.2在评标过程中，投标人不得以任何行为影响评标过程，否则其投标文件将被作为无效投标文件。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24.3代理机构和评标委员会不向未中标的投标人解释未中标原因，也不公布评标过程中的相关细节。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24.4 采用综合评分法的项目，未中标的投标人可于中标结果公告期限届满之日起通过苏采云系统查看自己的评审得分及排序情况。</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25．投标文件的澄清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25.1评标期间，评委会对投标文件中含义不明确、同类问题表述不一致或者有明显文字和计算错误的内容，有权要求投标人作出必要的澄清、说明或者补正。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投标人的澄清、说明或者补正不得超出投标文件的范围或者改变投标文件的实质性内容。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评标委员会并非对每个投标人都做澄清要求。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25.3 接到评委会澄清、说明和补正要求的投标人如未按规定做出澄清、说明和补正，其风险由投标人自行承担。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26、对投标文件的初审</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26.1投标文件初审分为资格审查和符合性审查。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26.4评委会将对确定为实质性响应的投标进行进一步审核，看其是否有计算上或累加上的算术错误，修正错误的原则如下：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（1）投标文件中开标一览表内容与投标文件中相应内容不一致的，以开标一览表为准。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（2）大写金额和小写金额不一致的，以大写金额为准。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（3）单价金额小数点或者百分比有明显错位的，以开标一览表的总价为准，并修改单价。</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（4）总价金额与按单价汇总金额不一致的，以单价金额计算结果为准。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同时出现两种以上错误的，按照前款规定的顺序修正。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非单一产品采购项目，招标文件中将载明其中的核心产品。多家投标人提供的核心产品品牌相同的，按前两款规定处理。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26.7投标人在开、评标全过程中应保持通讯畅通，及时登录苏采云系统查阅、答复相关信息，并安排专人与代理机构及评标委员会联系。</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27、无效投标条款和废标条款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27.1无效投标条款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 投标人在苏采云系统规定的时间内未成功解密电子投标文件的。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27.1.2 投标人未按照招标文件要求上传电子投标文件的。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27.1.3投标人同一分包提交两个（含两个）以上不同的投标报价的。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27.1.4投标人不具备招标文件中规定资格要求的。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27.1.5投标人的报价超过了采购预算或最高限价的。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27.1.6未通过符合性审查的。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27.1.7不符合招标文件中规定的实质性要求的（详见本招标文件第四章采购需求中标有“★”的</w:t>
      </w:r>
      <w:r>
        <w:rPr>
          <w:rFonts w:hint="eastAsia" w:ascii="仿宋" w:hAnsi="仿宋" w:eastAsia="仿宋" w:cs="仿宋"/>
          <w:sz w:val="28"/>
          <w:highlight w:val="none"/>
        </w:rPr>
        <w:t xml:space="preserve">技术要求及相关商务要求</w:t>
      </w:r>
      <w:r>
        <w:rPr>
          <w:rFonts w:ascii="仿宋" w:hAnsi="仿宋" w:eastAsia="仿宋" w:cs="仿宋"/>
          <w:sz w:val="28"/>
          <w:highlight w:val="none"/>
        </w:rPr>
        <w:t xml:space="preserve">）。</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27.1.8 投标人被 “信用中国”网站（www.creditchina.gov.cn）</w:t>
      </w:r>
      <w:r>
        <w:rPr>
          <w:rFonts w:hint="eastAsia" w:ascii="仿宋" w:hAnsi="仿宋" w:eastAsia="仿宋" w:cs="仿宋"/>
          <w:sz w:val="28"/>
          <w:highlight w:val="none"/>
        </w:rPr>
        <w:t xml:space="preserve">、中国政府采购网（</w:t>
      </w:r>
      <w:r>
        <w:rPr>
          <w:rFonts w:ascii="仿宋" w:hAnsi="仿宋" w:eastAsia="仿宋" w:cs="仿宋"/>
          <w:sz w:val="28"/>
          <w:highlight w:val="none"/>
        </w:rPr>
        <w:t xml:space="preserve">www.ccgp.gov.cn</w:t>
      </w:r>
      <w:r>
        <w:rPr>
          <w:rFonts w:hint="eastAsia" w:ascii="仿宋" w:hAnsi="仿宋" w:eastAsia="仿宋" w:cs="仿宋"/>
          <w:sz w:val="28"/>
          <w:highlight w:val="none"/>
        </w:rPr>
        <w:t xml:space="preserve">）</w:t>
      </w:r>
      <w:r>
        <w:rPr>
          <w:rFonts w:ascii="仿宋" w:hAnsi="仿宋" w:eastAsia="仿宋" w:cs="仿宋"/>
          <w:sz w:val="28"/>
          <w:highlight w:val="none"/>
        </w:rPr>
        <w:t xml:space="preserve">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27.1.9  投标文件含有采购人不能接受的附加条件的。</w:t>
      </w:r>
      <w:r>
        <w:rPr>
          <w:highlight w:val="none"/>
        </w:rPr>
      </w:r>
    </w:p>
    <w:p>
      <w:pPr>
        <w:jc w:val="both"/>
        <w:spacing w:line="479" w:lineRule="atLeast"/>
        <w:rPr>
          <w:rFonts w:hint="eastAsia"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27.1.10</w:t>
      </w:r>
      <w:r>
        <w:rPr>
          <w:rFonts w:hint="eastAsia" w:ascii="仿宋" w:hAnsi="仿宋" w:eastAsia="仿宋" w:cs="仿宋"/>
          <w:color w:val="ff0000"/>
          <w:sz w:val="28"/>
          <w:highlight w:val="none"/>
        </w:rPr>
        <w:t xml:space="preserve">评审过程中出现下列情形之一的，评审委员会应当启动异常低价投标（响应）审查程序：（</w:t>
      </w:r>
      <w:r>
        <w:rPr>
          <w:rFonts w:ascii="仿宋" w:hAnsi="仿宋" w:eastAsia="仿宋" w:cs="仿宋"/>
          <w:color w:val="ff0000"/>
          <w:sz w:val="28"/>
          <w:highlight w:val="none"/>
        </w:rPr>
        <w:t xml:space="preserve">1</w:t>
      </w:r>
      <w:r>
        <w:rPr>
          <w:rFonts w:hint="eastAsia" w:ascii="仿宋" w:hAnsi="仿宋" w:eastAsia="仿宋" w:cs="仿宋"/>
          <w:color w:val="ff0000"/>
          <w:sz w:val="28"/>
          <w:highlight w:val="none"/>
        </w:rPr>
        <w:t xml:space="preserve">）投标（响应）报价低于采购项目预算</w:t>
      </w:r>
      <w:r>
        <w:rPr>
          <w:rFonts w:ascii="仿宋" w:hAnsi="仿宋" w:eastAsia="仿宋" w:cs="仿宋"/>
          <w:color w:val="ff0000"/>
          <w:sz w:val="28"/>
          <w:highlight w:val="none"/>
        </w:rPr>
        <w:t xml:space="preserve">50% </w:t>
      </w:r>
      <w:r>
        <w:rPr>
          <w:rFonts w:hint="eastAsia" w:ascii="仿宋" w:hAnsi="仿宋" w:eastAsia="仿宋" w:cs="仿宋"/>
          <w:color w:val="ff0000"/>
          <w:sz w:val="28"/>
          <w:highlight w:val="none"/>
        </w:rPr>
        <w:t xml:space="preserve">的，即投标（响应）报价＜采购项目预算×</w:t>
      </w:r>
      <w:r>
        <w:rPr>
          <w:rFonts w:ascii="仿宋" w:hAnsi="仿宋" w:eastAsia="仿宋" w:cs="仿宋"/>
          <w:color w:val="ff0000"/>
          <w:sz w:val="28"/>
          <w:highlight w:val="none"/>
        </w:rPr>
        <w:t xml:space="preserve">50% </w:t>
      </w:r>
      <w:r>
        <w:rPr>
          <w:rFonts w:hint="eastAsia" w:ascii="仿宋" w:hAnsi="仿宋" w:eastAsia="仿宋" w:cs="仿宋"/>
          <w:color w:val="ff0000"/>
          <w:sz w:val="28"/>
          <w:highlight w:val="none"/>
        </w:rPr>
        <w:t xml:space="preserve">；（</w:t>
      </w:r>
      <w:r>
        <w:rPr>
          <w:rFonts w:ascii="仿宋" w:hAnsi="仿宋" w:eastAsia="仿宋" w:cs="仿宋"/>
          <w:color w:val="ff0000"/>
          <w:sz w:val="28"/>
          <w:highlight w:val="none"/>
        </w:rPr>
        <w:t xml:space="preserve">2</w:t>
      </w:r>
      <w:r>
        <w:rPr>
          <w:rFonts w:hint="eastAsia" w:ascii="仿宋" w:hAnsi="仿宋" w:eastAsia="仿宋" w:cs="仿宋"/>
          <w:color w:val="ff0000"/>
          <w:sz w:val="28"/>
          <w:highlight w:val="none"/>
        </w:rPr>
        <w:t xml:space="preserve">）投标（响应）报价低于采购项目最高限价</w:t>
      </w:r>
      <w:r>
        <w:rPr>
          <w:rFonts w:ascii="仿宋" w:hAnsi="仿宋" w:eastAsia="仿宋" w:cs="仿宋"/>
          <w:color w:val="ff0000"/>
          <w:sz w:val="28"/>
          <w:highlight w:val="none"/>
        </w:rPr>
        <w:t xml:space="preserve">45% </w:t>
      </w:r>
      <w:r>
        <w:rPr>
          <w:rFonts w:hint="eastAsia" w:ascii="仿宋" w:hAnsi="仿宋" w:eastAsia="仿宋" w:cs="仿宋"/>
          <w:color w:val="ff0000"/>
          <w:sz w:val="28"/>
          <w:highlight w:val="none"/>
        </w:rPr>
        <w:t xml:space="preserve">的，即投标（响应）报价＜采购项目最高限价×</w:t>
      </w:r>
      <w:r>
        <w:rPr>
          <w:rFonts w:ascii="仿宋" w:hAnsi="仿宋" w:eastAsia="仿宋" w:cs="仿宋"/>
          <w:color w:val="ff0000"/>
          <w:sz w:val="28"/>
          <w:highlight w:val="none"/>
        </w:rPr>
        <w:t xml:space="preserve">45% </w:t>
      </w:r>
      <w:r>
        <w:rPr>
          <w:rFonts w:hint="eastAsia" w:ascii="仿宋" w:hAnsi="仿宋" w:eastAsia="仿宋" w:cs="仿宋"/>
          <w:color w:val="ff0000"/>
          <w:sz w:val="28"/>
          <w:highlight w:val="none"/>
        </w:rPr>
        <w:t xml:space="preserve">；（</w:t>
      </w:r>
      <w:r>
        <w:rPr>
          <w:rFonts w:ascii="仿宋" w:hAnsi="仿宋" w:eastAsia="仿宋" w:cs="仿宋"/>
          <w:color w:val="ff0000"/>
          <w:sz w:val="28"/>
          <w:highlight w:val="none"/>
        </w:rPr>
        <w:t xml:space="preserve">3</w:t>
      </w:r>
      <w:r>
        <w:rPr>
          <w:rFonts w:hint="eastAsia" w:ascii="仿宋" w:hAnsi="仿宋" w:eastAsia="仿宋" w:cs="仿宋"/>
          <w:color w:val="ff0000"/>
          <w:sz w:val="28"/>
          <w:highlight w:val="none"/>
        </w:rPr>
        <w:t xml:space="preserve">）评审委员会认定的供应商报价过低、有可能影响产品质量或者不能诚信履约的其他情形。</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27.1.12 投标文件未按照招标文件要求加盖CA电子公章的。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27.1.13其他法律、法规及本招标文件规定的属无效投标的情形。</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27.1.14投标人的商务技术部分得分相差异常悬殊，评标委员会一致认为得分畸低者有可能影响产品质量或者不能诚信履约的。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27.2废标条款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27.2.1符合专业条件的供应商或者对招标文件作实质响应的供应商不足三家的。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27.2.2出现影响采购公正的违法、违规行为的。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27.2.3因重大变故，采购任务取消的。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27.2.4评标委员会认定招标文件存在歧义、重大缺陷导致评审工作无法进行。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27.2.5 因苏采云系统系统故障原因造成开标不成功的。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 投标截止时间结束后参加投标的供应商不足三家的处理：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六、定标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28、确定中标单位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28.1中标候选人的选取原则和数量见招标文件第五章规定。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28.2 采购人应根据评委会推荐的中标候选人确定中标人。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28.3 代理机构将在“江苏政府采购网”发布中标公告，公告期限为1个工作日。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 若有充分证据证明，中标人出现下列情况之一的，一经查实，将被取消中标资格：</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28.4.1提供虚假材料谋取中标的。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28.4.2向采购人、代理机构行贿或者提供其他不正当利益的。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28.4.3属于本文件规定的无效条件，但在评标过程中又未被评委会发现的。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28.4.4与采购人或者其他供应商恶意串通的。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28.4.5采取不正当手段诋毁、排挤其他供应商的。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 有下列情形之一的，视为投标人串通投标，投标无效：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28.5.1不同投标人的投标文件由同一单位或者个人编制；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28.5.2不同投标人委托同一单位或者个人办理投标事宜；</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28.5.3 不同投标人的投标文件载明的项目管理成员或者联系人员为同一人；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28.5.4不同投标人的投标文件异常一致或者投标报价呈规律性差异；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29、质疑处理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29.1 提出质疑的供应商应当是参与所质疑项目采购活动的供应商。潜在供应商依法获取其可质疑的采购文件的，可以对采购文件提出质疑。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p>
    <w:p>
      <w:pPr>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29.2.1对可以质疑的采购文件提出质疑的，为收到采购文件之日或者采购文件公告期限届满之日；</w:t>
      </w:r>
      <w:r>
        <w:rPr>
          <w:rFonts w:ascii="仿宋" w:hAnsi="仿宋" w:eastAsia="仿宋" w:cs="仿宋"/>
          <w:sz w:val="28"/>
          <w:highlight w:val="none"/>
        </w:rPr>
        <w:br/>
      </w:r>
      <w:r>
        <w:rPr>
          <w:rFonts w:ascii="仿宋" w:hAnsi="仿宋" w:eastAsia="仿宋" w:cs="仿宋"/>
          <w:sz w:val="28"/>
          <w:highlight w:val="none"/>
        </w:rPr>
        <w:t xml:space="preserve">29.2.2对采购过程提出质疑的，为各采购程序环节结束之日；</w:t>
      </w:r>
      <w:r>
        <w:rPr>
          <w:rFonts w:ascii="仿宋" w:hAnsi="仿宋" w:eastAsia="仿宋" w:cs="仿宋"/>
          <w:sz w:val="28"/>
          <w:highlight w:val="none"/>
        </w:rPr>
        <w:br/>
      </w:r>
      <w:r>
        <w:rPr>
          <w:rFonts w:ascii="仿宋" w:hAnsi="仿宋" w:eastAsia="仿宋" w:cs="仿宋"/>
          <w:sz w:val="28"/>
          <w:highlight w:val="none"/>
        </w:rPr>
        <w:t xml:space="preserve">29.2.3对中标或者成交结果提出质疑的，为中标或者成交结果公告期限届满之日。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采购人及代理机构只接收以纸质原件形式送达的质疑,建议供应商尽量通过邮寄方式提交质疑（采购人和代理机构不接受无快递运单号的快递）。</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采购人质疑接收人及联系方式见招标文件第一章。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 以下情形的质疑不予受理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29.5.1 内容不符合《政府采购质疑和投诉办法》第十二条规定的质疑。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29.5.2 超出政府采购法定期限的质疑。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29.5.3 以传真、电子邮件等方式递交的非原件形式的质疑。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29.5.4 未参加投标活动的供应商或在投标活动中自身权益未受到损害的供应商所提出的质疑。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29.5.5供应商组成联合体参加投标，联合体中任何一方或多方未按要求签字、盖章、加盖公章的质疑。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30、中标通知书</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七、授予合同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签订合同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31.l中标人应当在中标通知书发出之日起三十日内，按照招标文件确定的事项与采购人签订政府采购合同。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31.2招标文件、中标人的投标文件及招标过程中有关澄清、承诺文件均应作为合同附件。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31.3 签订合同后，</w:t>
      </w:r>
      <w:r>
        <w:rPr>
          <w:rFonts w:ascii="仿宋" w:hAnsi="仿宋" w:eastAsia="仿宋" w:cs="仿宋"/>
          <w:sz w:val="28"/>
          <w:highlight w:val="none"/>
          <w:u w:val="single"/>
        </w:rPr>
        <w:t xml:space="preserve">中标人不得将合同标的进行转包</w:t>
      </w:r>
      <w:r>
        <w:rPr>
          <w:rFonts w:ascii="仿宋" w:hAnsi="仿宋" w:eastAsia="仿宋" w:cs="仿宋"/>
          <w:sz w:val="28"/>
          <w:highlight w:val="none"/>
        </w:rPr>
        <w:t xml:space="preserve">。未经采购人同意，中标人也不得采用分包的形式履行合同，否则采购人有权终止合同。转包或分包造成采购人损失的，中标人应承担相应赔偿责任。</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32、货物（包含与货物相关的服务）的追加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33、政府采购履约资金扶持政策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51"/>
        <w:jc w:val="center"/>
        <w:rPr>
          <w:rFonts w:hint="eastAsia" w:ascii="宋体" w:hAnsi="宋体" w:eastAsia="宋体" w:cs="宋体"/>
          <w:b/>
          <w:bCs/>
          <w:highlight w:val="none"/>
        </w:rPr>
      </w:pPr>
      <w:r>
        <w:rPr>
          <w:rFonts w:hint="eastAsia" w:ascii="宋体" w:hAnsi="宋体" w:eastAsia="宋体" w:cs="宋体"/>
          <w:b/>
          <w:bCs/>
          <w:highlight w:val="none"/>
        </w:rPr>
        <w:t xml:space="preserve">第三章  合同文本</w:t>
      </w:r>
      <w:r>
        <w:rPr>
          <w:highlight w:val="none"/>
        </w:rPr>
      </w:r>
    </w:p>
    <w:p>
      <w:pPr>
        <w:pStyle w:val="752"/>
        <w:jc w:val="center"/>
        <w:rPr>
          <w:rFonts w:hint="eastAsia" w:ascii="仿宋" w:hAnsi="仿宋" w:eastAsia="仿宋" w:cs="仿宋"/>
          <w:sz w:val="28"/>
          <w:highlight w:val="none"/>
        </w:rPr>
      </w:pPr>
      <w:r>
        <w:rPr>
          <w:rFonts w:hint="eastAsia" w:ascii="仿宋" w:hAnsi="仿宋" w:eastAsia="仿宋" w:cs="仿宋"/>
          <w:sz w:val="28"/>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highlight w:val="none"/>
        </w:rPr>
      </w:r>
    </w:p>
    <w:p>
      <w:pPr>
        <w:jc w:val="center"/>
        <w:spacing w:before="120" w:after="120"/>
        <w:rPr>
          <w:rFonts w:hint="eastAsia" w:ascii="宋体" w:hAnsi="宋体"/>
          <w:b/>
          <w:bCs/>
          <w:color w:val="000000"/>
          <w:sz w:val="30"/>
          <w:highlight w:val="none"/>
        </w:rPr>
        <w:outlineLvl w:val="0"/>
      </w:pPr>
      <w:r>
        <w:rPr>
          <w:rFonts w:hint="eastAsia" w:ascii="宋体" w:hAnsi="宋体"/>
          <w:b/>
          <w:color w:val="000000"/>
          <w:sz w:val="30"/>
          <w:szCs w:val="21"/>
          <w:highlight w:val="none"/>
        </w:rPr>
        <w:t xml:space="preserve">江苏省政府采购合同（货物）（合同编号）</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江苏省政府采购中心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highlight w:val="none"/>
        </w:rPr>
      </w:r>
    </w:p>
    <w:p>
      <w:pPr>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2.1 本合同金额为（大写）：_______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highlight w:val="none"/>
        </w:rPr>
      </w:r>
    </w:p>
    <w:p>
      <w:pPr>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highlight w:val="none"/>
        </w:rPr>
      </w:r>
    </w:p>
    <w:p>
      <w:pPr>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w:t>
      </w:r>
      <w:r>
        <w:rPr>
          <w:rFonts w:ascii="宋体" w:hAnsi="宋体" w:cs="Courier New"/>
          <w:color w:val="000000"/>
          <w:sz w:val="24"/>
          <w:szCs w:val="24"/>
          <w:highlight w:val="none"/>
        </w:rPr>
        <w:t xml:space="preserve">格、计划、图纸、样品或资料提供给与履行本合同无关的任何其他人。即使向履行本合同有关的人员提供，也应注意保密并限于履行合同的必需范围。</w:t>
      </w:r>
      <w:r>
        <w:rPr>
          <w:highlight w:val="none"/>
        </w:rPr>
      </w:r>
    </w:p>
    <w:p>
      <w:pPr>
        <w:ind w:left="412" w:hanging="412"/>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highlight w:val="none"/>
        </w:rPr>
      </w:r>
    </w:p>
    <w:p>
      <w:pPr>
        <w:spacing w:line="0" w:lineRule="atLeast"/>
        <w:rPr>
          <w:rFonts w:hint="eastAsia" w:ascii="宋体" w:hAnsi="宋体"/>
          <w:color w:val="000000"/>
          <w:sz w:val="24"/>
          <w:szCs w:val="21"/>
          <w:highlight w:val="none"/>
        </w:rPr>
      </w:pPr>
      <w:r>
        <w:rPr>
          <w:rFonts w:hAnsi="宋体"/>
          <w:color w:val="000000"/>
          <w:sz w:val="24"/>
          <w:szCs w:val="24"/>
          <w:highlight w:val="none"/>
        </w:rPr>
        <w:t xml:space="preserve">4.1乙</w:t>
      </w:r>
      <w:r>
        <w:rPr>
          <w:rFonts w:hint="eastAsia" w:ascii="宋体" w:hAnsi="宋体"/>
          <w:color w:val="000000"/>
          <w:sz w:val="24"/>
          <w:szCs w:val="21"/>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szCs w:val="21"/>
          <w:highlight w:val="none"/>
        </w:rPr>
        <w:t xml:space="preserve">或其任何一部分时不受第三方提出侵犯其专利权、版权、商标权和工业设计权等知识产权的起诉。一旦出现侵权，由乙方负全部责任。</w:t>
      </w:r>
      <w:r>
        <w:rPr>
          <w:highlight w:val="none"/>
        </w:rPr>
      </w:r>
    </w:p>
    <w:p>
      <w:pPr>
        <w:spacing w:before="120" w:after="120"/>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highlight w:val="none"/>
        </w:rPr>
      </w:r>
    </w:p>
    <w:p>
      <w:pPr>
        <w:ind w:left="408" w:hanging="408"/>
        <w:spacing w:before="120" w:after="120"/>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highlight w:val="none"/>
        </w:rPr>
      </w:r>
    </w:p>
    <w:p>
      <w:pPr>
        <w:ind w:left="410" w:hanging="410"/>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highlight w:val="none"/>
        </w:rPr>
      </w:r>
    </w:p>
    <w:p>
      <w:pPr>
        <w:ind w:left="408" w:hanging="408"/>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乙方交纳人民币_________元作为本合同的履约保证金。</w:t>
      </w:r>
      <w:r>
        <w:rPr>
          <w:rFonts w:hint="eastAsia" w:ascii="宋体" w:hAnsi="宋体" w:cs="Courier New"/>
          <w:color w:val="000000"/>
          <w:sz w:val="24"/>
          <w:szCs w:val="24"/>
          <w:highlight w:val="none"/>
        </w:rPr>
        <w:t xml:space="preserve">（不得超过合同金额的10%）</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highlight w:val="none"/>
        </w:rPr>
      </w:r>
    </w:p>
    <w:p>
      <w:pPr>
        <w:spacing w:before="120" w:after="120"/>
        <w:rPr>
          <w:rFonts w:hint="eastAsia"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highlight w:val="none"/>
        </w:rPr>
      </w:r>
    </w:p>
    <w:p>
      <w:pPr>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highlight w:val="none"/>
        </w:rPr>
      </w:r>
    </w:p>
    <w:p>
      <w:pPr>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highlight w:val="none"/>
        </w:rPr>
      </w:r>
    </w:p>
    <w:p>
      <w:pPr>
        <w:spacing w:before="120" w:after="120"/>
        <w:rPr>
          <w:rFonts w:hint="eastAsia"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highlight w:val="none"/>
        </w:rPr>
      </w:r>
    </w:p>
    <w:p>
      <w:pPr>
        <w:spacing w:before="120" w:after="120"/>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highlight w:val="none"/>
        </w:rPr>
      </w:r>
    </w:p>
    <w:p>
      <w:pPr>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highlight w:val="none"/>
        </w:rPr>
      </w:r>
    </w:p>
    <w:p>
      <w:pPr>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8．1.1 预付款支付时间：</w:t>
      </w:r>
      <w:r>
        <w:rPr>
          <w:rFonts w:hint="eastAsia" w:ascii="宋体" w:hAnsi="宋体" w:cs="Courier New"/>
          <w:bCs/>
          <w:color w:val="000000"/>
          <w:sz w:val="24"/>
          <w:szCs w:val="24"/>
          <w:highlight w:val="none"/>
          <w:u w:val="single"/>
        </w:rPr>
        <w:t xml:space="preserve">合同签订后***日内</w:t>
      </w:r>
      <w:r>
        <w:rPr>
          <w:rFonts w:hint="eastAsia" w:ascii="宋体" w:hAnsi="宋体" w:cs="Courier New"/>
          <w:bCs/>
          <w:color w:val="000000"/>
          <w:sz w:val="24"/>
          <w:szCs w:val="24"/>
          <w:highlight w:val="none"/>
        </w:rPr>
        <w:t xml:space="preserve">，预付款支付比例：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highlight w:val="none"/>
        </w:rPr>
      </w:r>
    </w:p>
    <w:p>
      <w:pPr>
        <w:spacing w:before="120" w:after="120"/>
        <w:rPr>
          <w:rFonts w:hint="eastAsia" w:ascii="宋体" w:hAnsi="宋体" w:cs="Courier New"/>
          <w:color w:val="000000"/>
          <w:sz w:val="24"/>
          <w:szCs w:val="24"/>
          <w:highlight w:val="none"/>
          <w:u w:val="single"/>
        </w:rPr>
      </w:pPr>
      <w:r>
        <w:rPr>
          <w:rFonts w:hint="eastAsia" w:ascii="宋体" w:hAnsi="宋体" w:cs="Courier New"/>
          <w:bCs/>
          <w:color w:val="000000"/>
          <w:sz w:val="24"/>
          <w:szCs w:val="24"/>
          <w:highlight w:val="none"/>
        </w:rPr>
        <w:t xml:space="preserve">8.1.2 尾款支付时间：产品验收通过,采购人收到发票后15日内，尾款支付比例：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highlight w:val="none"/>
        </w:rPr>
      </w:r>
    </w:p>
    <w:p>
      <w:pPr>
        <w:ind w:left="480" w:hanging="480"/>
        <w:spacing w:before="120" w:after="120"/>
        <w:rPr>
          <w:rFonts w:hint="eastAsia" w:ascii="宋体" w:hAnsi="宋体" w:cs="Courier New"/>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w:t>
      </w:r>
      <w:r>
        <w:rPr>
          <w:highlight w:val="none"/>
        </w:rPr>
      </w:r>
    </w:p>
    <w:p>
      <w:pPr>
        <w:ind w:left="480" w:hanging="480"/>
        <w:spacing w:before="120" w:after="120"/>
        <w:rPr>
          <w:rFonts w:hint="eastAsia" w:ascii="宋体" w:hAnsi="宋体" w:cs="Courier New"/>
          <w:bCs/>
          <w:color w:val="000000"/>
          <w:sz w:val="24"/>
          <w:szCs w:val="24"/>
          <w:highlight w:val="none"/>
        </w:rPr>
      </w:pPr>
      <w:r>
        <w:rPr>
          <w:rFonts w:ascii="宋体" w:hAnsi="宋体" w:cs="Courier New"/>
          <w:color w:val="000000"/>
          <w:sz w:val="24"/>
          <w:szCs w:val="24"/>
          <w:highlight w:val="none"/>
        </w:rPr>
        <w:t xml:space="preserve">算金额按实际使用量乘以成交单价进行计算。</w:t>
      </w:r>
      <w:r>
        <w:rPr>
          <w:highlight w:val="none"/>
        </w:rPr>
      </w:r>
    </w:p>
    <w:p>
      <w:pPr>
        <w:spacing w:before="120" w:after="120"/>
        <w:rPr>
          <w:rFonts w:hint="eastAsia"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highlight w:val="none"/>
        </w:rPr>
      </w:r>
    </w:p>
    <w:p>
      <w:pPr>
        <w:spacing w:before="120" w:after="120"/>
        <w:rPr>
          <w:rFonts w:hint="eastAsia"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highlight w:val="none"/>
        </w:rPr>
      </w:r>
    </w:p>
    <w:p>
      <w:pPr>
        <w:ind w:left="412" w:hanging="412"/>
        <w:spacing w:before="120" w:after="120"/>
        <w:rPr>
          <w:rFonts w:hint="eastAsia"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highlight w:val="none"/>
        </w:rPr>
      </w:r>
    </w:p>
    <w:p>
      <w:pPr>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rPr>
          <w:highlight w:val="none"/>
        </w:rPr>
      </w:r>
    </w:p>
    <w:p>
      <w:pPr>
        <w:ind w:left="480" w:hanging="48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rPr>
          <w:highlight w:val="none"/>
        </w:rPr>
      </w:r>
    </w:p>
    <w:p>
      <w:pPr>
        <w:ind w:firstLine="42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highlight w:val="none"/>
        </w:rPr>
      </w:r>
    </w:p>
    <w:p>
      <w:pPr>
        <w:ind w:firstLine="42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highlight w:val="none"/>
        </w:rPr>
      </w:r>
    </w:p>
    <w:p>
      <w:pPr>
        <w:ind w:left="40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rPr>
          <w:highlight w:val="none"/>
        </w:rPr>
      </w:r>
    </w:p>
    <w:p>
      <w:pPr>
        <w:spacing w:line="360" w:lineRule="auto"/>
        <w:rPr>
          <w:rFonts w:hint="eastAsia" w:hAnsi="宋体"/>
          <w:bCs/>
          <w:sz w:val="30"/>
          <w:szCs w:val="30"/>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年（自交货验收合格之日起计），因人为因素出现的故障不在免费保修范围内。超过保修期的机器设备，终生维修，维修时只收部件成本费。</w:t>
      </w:r>
      <w:r>
        <w:rPr>
          <w:rFonts w:hAnsi="宋体"/>
          <w:bCs/>
          <w:sz w:val="30"/>
          <w:szCs w:val="30"/>
          <w:highlight w:val="none"/>
        </w:rPr>
        <w:br w:type="page" w:clear="all"/>
      </w:r>
      <w:r>
        <w:rPr>
          <w:highlight w:val="none"/>
        </w:rPr>
      </w:r>
    </w:p>
    <w:p>
      <w:pPr>
        <w:pStyle w:val="751"/>
        <w:jc w:val="center"/>
        <w:rPr>
          <w:rFonts w:hint="eastAsia" w:ascii="宋体" w:hAnsi="宋体" w:eastAsia="宋体" w:cs="宋体"/>
          <w:highlight w:val="none"/>
        </w:rPr>
      </w:pPr>
      <w:r>
        <w:rPr>
          <w:rFonts w:hint="eastAsia" w:ascii="宋体" w:hAnsi="宋体" w:eastAsia="宋体" w:cs="宋体"/>
          <w:highlight w:val="none"/>
        </w:rPr>
        <w:t xml:space="preserve">第四章 采购需求</w:t>
      </w:r>
      <w:r>
        <w:rPr>
          <w:highlight w:val="none"/>
        </w:rPr>
      </w:r>
    </w:p>
    <w:p>
      <w:pPr>
        <w:jc w:val="both"/>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项目属性:货物类项目。</w:t>
      </w:r>
      <w:r>
        <w:rPr>
          <w:highlight w:val="none"/>
        </w:rPr>
      </w:r>
    </w:p>
    <w:p>
      <w:pPr>
        <w:pStyle w:val="752"/>
        <w:spacing w:before="0" w:after="0" w:line="98"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一、采购标的清单</w:t>
      </w:r>
      <w:r>
        <w:rPr>
          <w:highlight w:val="none"/>
        </w:rPr>
      </w:r>
    </w:p>
    <w:tbl>
      <w:tblPr>
        <w:tblStyle w:val="784"/>
        <w:tblpPr w:horzAnchor="margin" w:tblpXSpec="center" w:vertAnchor="text" w:tblpY="120"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364"/>
        <w:gridCol w:w="2410"/>
        <w:gridCol w:w="2288"/>
      </w:tblGrid>
      <w:tr>
        <w:trPr>
          <w:jc w:val="cente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采购标的</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对应中小企业划分标准所属行业</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是否属于强制环保节能产品</w:t>
            </w:r>
            <w:r>
              <w:rPr>
                <w:highlight w:val="none"/>
              </w:rPr>
            </w:r>
          </w:p>
        </w:tc>
      </w:tr>
      <w:tr>
        <w:trPr>
          <w:jc w:val="cente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高仿真模拟人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工业</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否</w:t>
            </w:r>
            <w:r>
              <w:rPr>
                <w:highlight w:val="none"/>
              </w:rPr>
            </w:r>
          </w:p>
        </w:tc>
      </w:tr>
    </w:tbl>
    <w:p>
      <w:pPr>
        <w:pStyle w:val="752"/>
        <w:spacing w:before="0" w:after="0" w:line="276" w:lineRule="auto"/>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二、技术要求</w:t>
      </w:r>
      <w:r>
        <w:rPr>
          <w:highlight w:val="none"/>
        </w:rPr>
      </w:r>
    </w:p>
    <w:p>
      <w:pPr>
        <w:pStyle w:val="835"/>
        <w:ind w:left="0" w:firstLine="482"/>
        <w:keepLines w:val="0"/>
        <w:keepNext w:val="0"/>
        <w:pageBreakBefore w:val="0"/>
        <w:spacing w:after="0" w:line="360" w:lineRule="auto"/>
        <w:widowControl w:val="off"/>
        <w:rPr>
          <w:rFonts w:hint="eastAsia" w:asciiTheme="minorEastAsia" w:hAnsiTheme="minorEastAsia"/>
          <w:b/>
          <w:bCs/>
          <w:sz w:val="24"/>
          <w:szCs w:val="24"/>
          <w:highlight w:val="none"/>
        </w:rPr>
      </w:pPr>
      <w:r>
        <w:rPr>
          <w:rFonts w:hint="eastAsia" w:asciiTheme="minorEastAsia" w:hAnsiTheme="minorEastAsia"/>
          <w:b/>
          <w:bCs/>
          <w:sz w:val="24"/>
          <w:szCs w:val="24"/>
          <w:highlight w:val="none"/>
        </w:rPr>
        <w:t xml:space="preserve">概述</w:t>
      </w:r>
      <w:r>
        <w:rPr>
          <w:highlight w:val="none"/>
        </w:rPr>
      </w:r>
    </w:p>
    <w:p>
      <w:pPr>
        <w:pStyle w:val="835"/>
        <w:ind w:left="0"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适用于急救、危重症外，还可应用于麻醉、创伤、心内、呼吸等专科训练，具有无线技术、生理驱动功能，模拟人外形需高度仿真，模拟操作及病例运行过程贴近临床实际，让学习者有身临其境的体验感。内置覆盖多个学科的经过检验病例，且为免费提供。病例系统采用开放式设计，方便导师快速生成自有病例，也便于考训分离。根据客户需求定制专业的专科病例。</w:t>
      </w:r>
      <w:r>
        <w:rPr>
          <w:highlight w:val="none"/>
        </w:rPr>
      </w:r>
    </w:p>
    <w:p>
      <w:pPr>
        <w:pStyle w:val="835"/>
        <w:numPr>
          <w:ilvl w:val="0"/>
          <w:numId w:val="0"/>
        </w:numPr>
        <w:ind w:firstLine="482"/>
        <w:keepLines w:val="0"/>
        <w:keepNext w:val="0"/>
        <w:pageBreakBefore w:val="0"/>
        <w:spacing w:after="0" w:line="360" w:lineRule="auto"/>
        <w:widowControl w:val="off"/>
        <w:rPr>
          <w:rFonts w:hint="eastAsia" w:asciiTheme="minorEastAsia" w:hAnsiTheme="minorEastAsia"/>
          <w:b/>
          <w:bCs/>
          <w:sz w:val="24"/>
          <w:szCs w:val="24"/>
          <w:highlight w:val="none"/>
        </w:rPr>
      </w:pP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一）</w:t>
      </w:r>
      <w:r>
        <w:rPr>
          <w:rFonts w:hint="eastAsia" w:asciiTheme="minorEastAsia" w:hAnsiTheme="minorEastAsia"/>
          <w:b/>
          <w:bCs/>
          <w:sz w:val="24"/>
          <w:szCs w:val="24"/>
          <w:highlight w:val="none"/>
        </w:rPr>
        <w:t xml:space="preserve">整体需求</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正常成年人体格和外观，全关节设计，可以摆出各种常见姿势，头部和手臂皮肤为硅</w:t>
      </w:r>
      <w:r>
        <w:rPr>
          <w:rFonts w:hint="eastAsia" w:asciiTheme="minorEastAsia" w:hAnsiTheme="minorEastAsia"/>
          <w:sz w:val="24"/>
          <w:szCs w:val="24"/>
          <w:highlight w:val="none"/>
        </w:rPr>
        <w:t xml:space="preserve">胶材质，皮肤及组织的触摸感需接近正常人体的触摸感，心脏、气道等解剖结构需与正常人体一致，可选择模拟人性别、肤色。压缩机安装在模拟病人体内，压缩机的操作声音不会干扰模拟病人的听诊声音。</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sz w:val="24"/>
          <w:szCs w:val="24"/>
          <w:highlight w:val="none"/>
          <w:lang w:val="en-US" w:eastAsia="zh-CN"/>
        </w:rPr>
        <w:t xml:space="preserve">2.</w:t>
      </w:r>
      <w:r>
        <w:rPr>
          <w:rFonts w:asciiTheme="minorEastAsia" w:hAnsiTheme="minorEastAsia"/>
          <w:sz w:val="24"/>
          <w:szCs w:val="24"/>
          <w:highlight w:val="none"/>
        </w:rPr>
        <w:t xml:space="preserve">全无线</w:t>
      </w:r>
      <w:r>
        <w:rPr>
          <w:rFonts w:hint="eastAsia" w:asciiTheme="minorEastAsia" w:hAnsiTheme="minorEastAsia"/>
          <w:color w:val="000000" w:themeColor="text1"/>
          <w:sz w:val="24"/>
          <w:szCs w:val="24"/>
          <w:highlight w:val="none"/>
          <w14:textFill>
            <w14:solidFill>
              <w14:schemeClr w14:val="tx1"/>
            </w14:solidFill>
          </w14:textFill>
        </w:rPr>
        <w:t xml:space="preserve">控制</w:t>
      </w:r>
      <w:r>
        <w:rPr>
          <w:rFonts w:asciiTheme="minorEastAsia" w:hAnsiTheme="minorEastAsia"/>
          <w:color w:val="000000" w:themeColor="text1"/>
          <w:sz w:val="24"/>
          <w:szCs w:val="24"/>
          <w:highlight w:val="none"/>
          <w14:textFill>
            <w14:solidFill>
              <w14:schemeClr w14:val="tx1"/>
            </w14:solidFill>
          </w14:textFill>
        </w:rPr>
        <w:t xml:space="preserve">，无需外接控制线、电源线和气泵</w:t>
      </w:r>
      <w:r>
        <w:rPr>
          <w:rFonts w:hint="eastAsia" w:asciiTheme="minorEastAsia" w:hAnsiTheme="minorEastAsia"/>
          <w:color w:val="000000" w:themeColor="text1"/>
          <w:sz w:val="24"/>
          <w:szCs w:val="24"/>
          <w:highlight w:val="none"/>
          <w14:textFill>
            <w14:solidFill>
              <w14:schemeClr w14:val="tx1"/>
            </w14:solidFill>
          </w14:textFill>
        </w:rPr>
        <w:t xml:space="preserve">，支持气动无线、电力无线和连接无线，连接距离至少60米，</w:t>
      </w:r>
      <w:r>
        <w:rPr>
          <w:rFonts w:asciiTheme="minorEastAsia" w:hAnsiTheme="minorEastAsia"/>
          <w:color w:val="000000" w:themeColor="text1"/>
          <w:sz w:val="24"/>
          <w:szCs w:val="24"/>
          <w:highlight w:val="none"/>
          <w14:textFill>
            <w14:solidFill>
              <w14:schemeClr w14:val="tx1"/>
            </w14:solidFill>
          </w14:textFill>
        </w:rPr>
        <w:t xml:space="preserve">在搬运过程中持续使用</w:t>
      </w:r>
      <w:r>
        <w:rPr>
          <w:rFonts w:hint="eastAsia" w:asciiTheme="minorEastAsia" w:hAnsiTheme="minorEastAsia"/>
          <w:color w:val="000000" w:themeColor="text1"/>
          <w:sz w:val="24"/>
          <w:szCs w:val="24"/>
          <w:highlight w:val="none"/>
          <w14:textFill>
            <w14:solidFill>
              <w14:schemeClr w14:val="tx1"/>
            </w14:solidFill>
          </w14:textFill>
        </w:rPr>
        <w:t xml:space="preserve">。电池续航时间至少4小时。模拟人、平板电脑与模拟监护仪等完全无线连接，实时同步数据交换。</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color w:val="000000" w:themeColor="text1"/>
          <w:sz w:val="24"/>
          <w:szCs w:val="24"/>
          <w:highlight w:val="none"/>
          <w14:textFill>
            <w14:solidFill>
              <w14:schemeClr w14:val="tx1"/>
            </w14:solidFill>
          </w14:textFill>
        </w:rPr>
        <w:t xml:space="preserve">采用</w:t>
      </w:r>
      <w:r>
        <w:rPr>
          <w:rFonts w:asciiTheme="minorEastAsia" w:hAnsiTheme="minorEastAsia"/>
          <w:color w:val="000000" w:themeColor="text1"/>
          <w:sz w:val="24"/>
          <w:szCs w:val="24"/>
          <w:highlight w:val="none"/>
          <w14:textFill>
            <w14:solidFill>
              <w14:schemeClr w14:val="tx1"/>
            </w14:solidFill>
          </w14:textFill>
        </w:rPr>
        <w:t xml:space="preserve">生理驱动技术</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可</w:t>
      </w:r>
      <w:r>
        <w:rPr>
          <w:rFonts w:hint="eastAsia" w:asciiTheme="minorEastAsia" w:hAnsiTheme="minorEastAsia"/>
          <w:color w:val="000000" w:themeColor="text1"/>
          <w:sz w:val="24"/>
          <w:szCs w:val="24"/>
          <w:highlight w:val="none"/>
          <w14:textFill>
            <w14:solidFill>
              <w14:schemeClr w14:val="tx1"/>
            </w14:solidFill>
          </w14:textFill>
        </w:rPr>
        <w:t xml:space="preserve">预设多个不同生理状态，</w:t>
      </w:r>
      <w:r>
        <w:rPr>
          <w:rFonts w:asciiTheme="minorEastAsia" w:hAnsiTheme="minorEastAsia"/>
          <w:color w:val="000000" w:themeColor="text1"/>
          <w:sz w:val="24"/>
          <w:szCs w:val="24"/>
          <w:highlight w:val="none"/>
          <w14:textFill>
            <w14:solidFill>
              <w14:schemeClr w14:val="tx1"/>
            </w14:solidFill>
          </w14:textFill>
        </w:rPr>
        <w:t xml:space="preserve">自动感应</w:t>
      </w:r>
      <w:r>
        <w:rPr>
          <w:rFonts w:hint="eastAsia" w:asciiTheme="minorEastAsia" w:hAnsiTheme="minorEastAsia"/>
          <w:color w:val="000000" w:themeColor="text1"/>
          <w:sz w:val="24"/>
          <w:szCs w:val="24"/>
          <w:highlight w:val="none"/>
          <w14:textFill>
            <w14:solidFill>
              <w14:schemeClr w14:val="tx1"/>
            </w14:solidFill>
          </w14:textFill>
        </w:rPr>
        <w:t xml:space="preserve">和触发</w:t>
      </w:r>
      <w:r>
        <w:rPr>
          <w:rFonts w:asciiTheme="minorEastAsia" w:hAnsiTheme="minorEastAsia"/>
          <w:color w:val="000000" w:themeColor="text1"/>
          <w:sz w:val="24"/>
          <w:szCs w:val="24"/>
          <w:highlight w:val="none"/>
          <w14:textFill>
            <w14:solidFill>
              <w14:schemeClr w14:val="tx1"/>
            </w14:solidFill>
          </w14:textFill>
        </w:rPr>
        <w:t xml:space="preserve">学生操作</w:t>
      </w:r>
      <w:r>
        <w:rPr>
          <w:rFonts w:hint="eastAsia" w:asciiTheme="minorEastAsia" w:hAnsiTheme="minorEastAsia"/>
          <w:color w:val="000000" w:themeColor="text1"/>
          <w:sz w:val="24"/>
          <w:szCs w:val="24"/>
          <w:highlight w:val="none"/>
          <w14:textFill>
            <w14:solidFill>
              <w14:schemeClr w14:val="tx1"/>
            </w14:solidFill>
          </w14:textFill>
        </w:rPr>
        <w:t xml:space="preserve">。</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color w:val="000000" w:themeColor="text1"/>
          <w:sz w:val="24"/>
          <w:szCs w:val="24"/>
          <w:highlight w:val="none"/>
          <w14:textFill>
            <w14:solidFill>
              <w14:schemeClr w14:val="tx1"/>
            </w14:solidFill>
          </w14:textFill>
        </w:rPr>
        <w:t xml:space="preserve">▲可实现包括但不限于</w:t>
      </w:r>
      <w:r>
        <w:rPr>
          <w:rFonts w:asciiTheme="minorEastAsia" w:hAnsiTheme="minorEastAsia"/>
          <w:color w:val="000000" w:themeColor="text1"/>
          <w:sz w:val="24"/>
          <w:szCs w:val="24"/>
          <w:highlight w:val="none"/>
          <w14:textFill>
            <w14:solidFill>
              <w14:schemeClr w14:val="tx1"/>
            </w14:solidFill>
          </w14:textFill>
        </w:rPr>
        <w:t xml:space="preserve">急救、危重症</w:t>
      </w:r>
      <w:r>
        <w:rPr>
          <w:rFonts w:hint="eastAsia" w:asciiTheme="minorEastAsia" w:hAnsiTheme="minorEastAsia"/>
          <w:color w:val="000000" w:themeColor="text1"/>
          <w:sz w:val="24"/>
          <w:szCs w:val="24"/>
          <w:highlight w:val="none"/>
          <w14:textFill>
            <w14:solidFill>
              <w14:schemeClr w14:val="tx1"/>
            </w14:solidFill>
          </w14:textFill>
        </w:rPr>
        <w:t xml:space="preserve">模拟教学</w:t>
      </w:r>
      <w:r>
        <w:rPr>
          <w:rFonts w:asciiTheme="minorEastAsia" w:hAnsiTheme="minorEastAsia"/>
          <w:color w:val="000000" w:themeColor="text1"/>
          <w:sz w:val="24"/>
          <w:szCs w:val="24"/>
          <w:highlight w:val="none"/>
          <w14:textFill>
            <w14:solidFill>
              <w14:schemeClr w14:val="tx1"/>
            </w14:solidFill>
          </w14:textFill>
        </w:rPr>
        <w:t xml:space="preserve">外，还可应用于麻醉、创伤、心内、呼吸等专科训练</w:t>
      </w:r>
      <w:r>
        <w:rPr>
          <w:rFonts w:hint="eastAsia" w:asciiTheme="minorEastAsia" w:hAnsiTheme="minorEastAsia"/>
          <w:color w:val="000000" w:themeColor="text1"/>
          <w:sz w:val="24"/>
          <w:szCs w:val="24"/>
          <w:highlight w:val="none"/>
          <w14:textFill>
            <w14:solidFill>
              <w14:schemeClr w14:val="tx1"/>
            </w14:solidFill>
          </w14:textFill>
        </w:rPr>
        <w:t xml:space="preserve">，包括神经系统、心脏及循环系统、呼吸系统、消化系统、泌尿系统、创伤、麻醉等功能，以及药物注射识别系统、模拟超声训练模块等功能。以上功能均需符合最新的AHA</w:t>
      </w:r>
      <w:r>
        <w:rPr>
          <w:rFonts w:hint="eastAsia" w:cs="宋体" w:asciiTheme="minorEastAsia" w:hAnsiTheme="minorEastAsia"/>
          <w:color w:val="000000" w:themeColor="text1"/>
          <w:sz w:val="24"/>
          <w:szCs w:val="24"/>
          <w:highlight w:val="none"/>
          <w14:textFill>
            <w14:solidFill>
              <w14:schemeClr w14:val="tx1"/>
            </w14:solidFill>
          </w14:textFill>
        </w:rPr>
        <w:t xml:space="preserve">《心肺复苏及心血管急救指南》以及国家相关指南和标准要求。</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color w:val="000000" w:themeColor="text1"/>
          <w:sz w:val="24"/>
          <w:szCs w:val="24"/>
          <w:highlight w:val="none"/>
          <w14:textFill>
            <w14:solidFill>
              <w14:schemeClr w14:val="tx1"/>
            </w14:solidFill>
          </w14:textFill>
        </w:rPr>
        <w:t xml:space="preserve">病例要求</w:t>
      </w:r>
      <w:r>
        <w:rPr>
          <w:rFonts w:asciiTheme="minorEastAsia" w:hAnsiTheme="minorEastAsia"/>
          <w:color w:val="000000" w:themeColor="text1"/>
          <w:sz w:val="24"/>
          <w:szCs w:val="24"/>
          <w:highlight w:val="none"/>
          <w14:textFill>
            <w14:solidFill>
              <w14:schemeClr w14:val="tx1"/>
            </w14:solidFill>
          </w14:textFill>
        </w:rPr>
        <w:t xml:space="preserve">内置覆盖多个学科的经过检验病例且为免费提供</w:t>
      </w:r>
      <w:r>
        <w:rPr>
          <w:rFonts w:hint="eastAsia" w:asciiTheme="minorEastAsia" w:hAnsiTheme="minorEastAsia"/>
          <w:color w:val="000000" w:themeColor="text1"/>
          <w:sz w:val="24"/>
          <w:szCs w:val="24"/>
          <w:highlight w:val="none"/>
          <w14:textFill>
            <w14:solidFill>
              <w14:schemeClr w14:val="tx1"/>
            </w14:solidFill>
          </w14:textFill>
        </w:rPr>
        <w:t xml:space="preserve">，支持导入各种类型检验报告功能。具有</w:t>
      </w:r>
      <w:r>
        <w:rPr>
          <w:rFonts w:asciiTheme="minorEastAsia" w:hAnsiTheme="minorEastAsia"/>
          <w:color w:val="000000" w:themeColor="text1"/>
          <w:sz w:val="24"/>
          <w:szCs w:val="24"/>
          <w:highlight w:val="none"/>
          <w14:textFill>
            <w14:solidFill>
              <w14:schemeClr w14:val="tx1"/>
            </w14:solidFill>
          </w14:textFill>
        </w:rPr>
        <w:t xml:space="preserve">病例派生</w:t>
      </w:r>
      <w:r>
        <w:rPr>
          <w:rFonts w:hint="eastAsia" w:asciiTheme="minorEastAsia" w:hAnsiTheme="minorEastAsia"/>
          <w:color w:val="000000" w:themeColor="text1"/>
          <w:sz w:val="24"/>
          <w:szCs w:val="24"/>
          <w:highlight w:val="none"/>
          <w14:textFill>
            <w14:solidFill>
              <w14:schemeClr w14:val="tx1"/>
            </w14:solidFill>
          </w14:textFill>
        </w:rPr>
        <w:t xml:space="preserve">功能，</w:t>
      </w:r>
      <w:r>
        <w:rPr>
          <w:rFonts w:asciiTheme="minorEastAsia" w:hAnsiTheme="minorEastAsia"/>
          <w:color w:val="000000" w:themeColor="text1"/>
          <w:sz w:val="24"/>
          <w:szCs w:val="24"/>
          <w:highlight w:val="none"/>
          <w14:textFill>
            <w14:solidFill>
              <w14:schemeClr w14:val="tx1"/>
            </w14:solidFill>
          </w14:textFill>
        </w:rPr>
        <w:t xml:space="preserve">病例系统采用开放式设计，方便导师快速生成自有病例，也便于考训分离。系统</w:t>
      </w:r>
      <w:r>
        <w:rPr>
          <w:rFonts w:hint="eastAsia" w:asciiTheme="minorEastAsia" w:hAnsiTheme="minorEastAsia"/>
          <w:color w:val="000000" w:themeColor="text1"/>
          <w:sz w:val="24"/>
          <w:szCs w:val="24"/>
          <w:highlight w:val="none"/>
          <w14:textFill>
            <w14:solidFill>
              <w14:schemeClr w14:val="tx1"/>
            </w14:solidFill>
          </w14:textFill>
        </w:rPr>
        <w:t xml:space="preserve">需</w:t>
      </w:r>
      <w:r>
        <w:rPr>
          <w:rFonts w:asciiTheme="minorEastAsia" w:hAnsiTheme="minorEastAsia"/>
          <w:color w:val="000000" w:themeColor="text1"/>
          <w:sz w:val="24"/>
          <w:szCs w:val="24"/>
          <w:highlight w:val="none"/>
          <w14:textFill>
            <w14:solidFill>
              <w14:schemeClr w14:val="tx1"/>
            </w14:solidFill>
          </w14:textFill>
        </w:rPr>
        <w:t xml:space="preserve">自带病例建设系统，支持</w:t>
      </w:r>
      <w:r>
        <w:rPr>
          <w:rFonts w:hint="eastAsia" w:asciiTheme="minorEastAsia" w:hAnsiTheme="minorEastAsia"/>
          <w:color w:val="000000" w:themeColor="text1"/>
          <w:sz w:val="24"/>
          <w:szCs w:val="24"/>
          <w:highlight w:val="none"/>
          <w14:textFill>
            <w14:solidFill>
              <w14:schemeClr w14:val="tx1"/>
            </w14:solidFill>
          </w14:textFill>
        </w:rPr>
        <w:t xml:space="preserve">教师工作站病例无限扩展，</w:t>
      </w:r>
      <w:r>
        <w:rPr>
          <w:rFonts w:asciiTheme="minorEastAsia" w:hAnsiTheme="minorEastAsia"/>
          <w:color w:val="000000" w:themeColor="text1"/>
          <w:sz w:val="24"/>
          <w:szCs w:val="24"/>
          <w:highlight w:val="none"/>
          <w14:textFill>
            <w14:solidFill>
              <w14:schemeClr w14:val="tx1"/>
            </w14:solidFill>
          </w14:textFill>
        </w:rPr>
        <w:t xml:space="preserve">将临床真实病例进行导入，可提供免费的专业代编辑服务</w:t>
      </w:r>
      <w:r>
        <w:rPr>
          <w:rFonts w:hint="eastAsia" w:asciiTheme="minorEastAsia" w:hAnsiTheme="minorEastAsia"/>
          <w:color w:val="000000" w:themeColor="text1"/>
          <w:sz w:val="24"/>
          <w:szCs w:val="24"/>
          <w:highlight w:val="none"/>
          <w14:textFill>
            <w14:solidFill>
              <w14:schemeClr w14:val="tx1"/>
            </w14:solidFill>
          </w14:textFill>
        </w:rPr>
        <w:t xml:space="preserve">，全中文的病例编辑系统</w:t>
      </w:r>
      <w:r>
        <w:rPr>
          <w:rFonts w:asciiTheme="minorEastAsia" w:hAnsiTheme="minorEastAsia"/>
          <w:color w:val="000000" w:themeColor="text1"/>
          <w:sz w:val="24"/>
          <w:szCs w:val="24"/>
          <w:highlight w:val="none"/>
          <w14:textFill>
            <w14:solidFill>
              <w14:schemeClr w14:val="tx1"/>
            </w14:solidFill>
          </w14:textFill>
        </w:rPr>
        <w:t xml:space="preserve">。根据客户需求定制专业的专科病例。</w:t>
      </w:r>
      <w:r>
        <w:rPr>
          <w:rFonts w:cs="Arial" w:asciiTheme="minorEastAsia" w:hAnsiTheme="minorEastAsia"/>
          <w:color w:val="000000" w:themeColor="text1"/>
          <w:sz w:val="24"/>
          <w:szCs w:val="24"/>
          <w:highlight w:val="none"/>
          <w14:textFill>
            <w14:solidFill>
              <w14:schemeClr w14:val="tx1"/>
            </w14:solidFill>
          </w14:textFill>
        </w:rPr>
        <w:t xml:space="preserve">包含线性病例和分支病例编辑模块，适合各种难易程度的病例编辑。</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color w:val="000000" w:themeColor="text1"/>
          <w:sz w:val="24"/>
          <w:szCs w:val="24"/>
          <w:highlight w:val="none"/>
          <w14:textFill>
            <w14:solidFill>
              <w14:schemeClr w14:val="tx1"/>
            </w14:solidFill>
          </w14:textFill>
        </w:rPr>
        <w:t xml:space="preserve">支持语音对话功能，模拟人发出男女性声音或常见话语，根据预设病例与操作者进行语音交互，通过无线麦克风进行模拟人话语控制，模拟病人和学员进行沟通的情况或控制模拟教学进展。</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color w:val="000000" w:themeColor="text1"/>
          <w:sz w:val="24"/>
          <w:szCs w:val="24"/>
          <w:highlight w:val="none"/>
          <w14:textFill>
            <w14:solidFill>
              <w14:schemeClr w14:val="tx1"/>
            </w14:solidFill>
          </w14:textFill>
        </w:rPr>
        <w:t xml:space="preserve">支持模拟案例运行过程中实时反馈效果，根据预设病例模拟人能够即刻出现与临床病例相对应的表现，如：生命体征改变、紫绀等，且能够随着病情演变出现对应的临床表现，且与临床实际一致，操作者有真实逼真的体验感。</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stheme="minorHAnsi"/>
          <w:bCs/>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8.</w:t>
      </w:r>
      <w:r>
        <w:rPr>
          <w:rFonts w:asciiTheme="minorEastAsia" w:hAnsiTheme="minorEastAsia"/>
          <w:color w:val="000000" w:themeColor="text1"/>
          <w:sz w:val="24"/>
          <w:szCs w:val="24"/>
          <w:highlight w:val="none"/>
          <w14:textFill>
            <w14:solidFill>
              <w14:schemeClr w14:val="tx1"/>
            </w14:solidFill>
          </w14:textFill>
        </w:rPr>
        <w:t xml:space="preserve">可使用临床真实的设备进行操作，包括</w:t>
      </w:r>
      <w:r>
        <w:rPr>
          <w:rFonts w:hint="eastAsia" w:asciiTheme="minorEastAsia" w:hAnsiTheme="minorEastAsia"/>
          <w:color w:val="000000" w:themeColor="text1"/>
          <w:sz w:val="24"/>
          <w:szCs w:val="24"/>
          <w:highlight w:val="none"/>
          <w14:textFill>
            <w14:solidFill>
              <w14:schemeClr w14:val="tx1"/>
            </w14:solidFill>
          </w14:textFill>
        </w:rPr>
        <w:t xml:space="preserve">但不限于</w:t>
      </w:r>
      <w:r>
        <w:rPr>
          <w:rFonts w:asciiTheme="minorEastAsia" w:hAnsiTheme="minorEastAsia"/>
          <w:color w:val="000000" w:themeColor="text1"/>
          <w:sz w:val="24"/>
          <w:szCs w:val="24"/>
          <w:highlight w:val="none"/>
          <w14:textFill>
            <w14:solidFill>
              <w14:schemeClr w14:val="tx1"/>
            </w14:solidFill>
          </w14:textFill>
        </w:rPr>
        <w:t xml:space="preserve">简易呼吸器</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呼吸机</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心电监护仪</w:t>
      </w:r>
      <w:r>
        <w:rPr>
          <w:rFonts w:hint="eastAsia" w:asciiTheme="minorEastAsia" w:hAnsiTheme="minorEastAsia"/>
          <w:color w:val="000000" w:themeColor="text1"/>
          <w:sz w:val="24"/>
          <w:szCs w:val="24"/>
          <w:highlight w:val="none"/>
          <w14:textFill>
            <w14:solidFill>
              <w14:schemeClr w14:val="tx1"/>
            </w14:solidFill>
          </w14:textFill>
        </w:rPr>
        <w:t xml:space="preserve">（至少3导联以上）、</w:t>
      </w:r>
      <w:r>
        <w:rPr>
          <w:rFonts w:asciiTheme="minorEastAsia" w:hAnsiTheme="minorEastAsia"/>
          <w:color w:val="000000" w:themeColor="text1"/>
          <w:sz w:val="24"/>
          <w:szCs w:val="24"/>
          <w:highlight w:val="none"/>
          <w14:textFill>
            <w14:solidFill>
              <w14:schemeClr w14:val="tx1"/>
            </w14:solidFill>
          </w14:textFill>
        </w:rPr>
        <w:t xml:space="preserve">血压计</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除颤仪</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AED</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体外起搏器</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血氧饱和度仪</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二氧化碳监测仪。</w:t>
      </w:r>
      <w:r>
        <w:rPr>
          <w:rFonts w:hint="eastAsia" w:asciiTheme="minorEastAsia" w:hAnsiTheme="minorEastAsia"/>
          <w:color w:val="000000" w:themeColor="text1"/>
          <w:sz w:val="24"/>
          <w:szCs w:val="24"/>
          <w:highlight w:val="none"/>
          <w14:textFill>
            <w14:solidFill>
              <w14:schemeClr w14:val="tx1"/>
            </w14:solidFill>
          </w14:textFill>
        </w:rPr>
        <w:t xml:space="preserve">支持自定义添加监护仪参数，动态显示12导联心电图。</w:t>
      </w:r>
      <w:r>
        <w:rPr>
          <w:highlight w:val="none"/>
        </w:rPr>
      </w:r>
    </w:p>
    <w:p>
      <w:pPr>
        <w:pStyle w:val="835"/>
        <w:numPr>
          <w:ilvl w:val="0"/>
          <w:numId w:val="0"/>
        </w:numPr>
        <w:ind w:firstLine="482"/>
        <w:keepLines w:val="0"/>
        <w:keepNext w:val="0"/>
        <w:pageBreakBefore w:val="0"/>
        <w:spacing w:after="0" w:line="360" w:lineRule="auto"/>
        <w:widowControl w:val="off"/>
        <w:rPr>
          <w:rFonts w:hint="eastAsia" w:asciiTheme="minorEastAsia" w:hAnsiTheme="minorEastAsia"/>
          <w:b/>
          <w:bCs/>
          <w:sz w:val="24"/>
          <w:szCs w:val="24"/>
          <w:highlight w:val="none"/>
        </w:rPr>
      </w:pP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二）</w:t>
      </w:r>
      <w:r>
        <w:rPr>
          <w:rFonts w:hint="eastAsia" w:asciiTheme="minorEastAsia" w:hAnsiTheme="minorEastAsia"/>
          <w:b/>
          <w:bCs/>
          <w:sz w:val="24"/>
          <w:szCs w:val="24"/>
          <w:highlight w:val="none"/>
        </w:rPr>
        <w:t xml:space="preserve">各系统功能具体需求</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color w:val="000000" w:themeColor="text1"/>
          <w:sz w:val="24"/>
          <w:szCs w:val="24"/>
          <w:highlight w:val="none"/>
          <w14:textFill>
            <w14:solidFill>
              <w14:schemeClr w14:val="tx1"/>
            </w14:solidFill>
          </w14:textFill>
        </w:rPr>
        <w:t xml:space="preserve">神经系统</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color w:val="000000" w:themeColor="text1"/>
          <w:sz w:val="24"/>
          <w:szCs w:val="24"/>
          <w:highlight w:val="none"/>
          <w14:textFill>
            <w14:solidFill>
              <w14:schemeClr w14:val="tx1"/>
            </w14:solidFill>
          </w14:textFill>
        </w:rPr>
        <w:t xml:space="preserve">模拟人眼睛可显示患者瞳孔和眼睑的动态外观，可选择不少于6档眨眼速度，可自动模式或手动模式设置自发睁眼、闭眼，模拟各种不同的精神状态。</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1.2</w:t>
      </w:r>
      <w:r>
        <w:rPr>
          <w:rFonts w:hint="eastAsia" w:asciiTheme="minorEastAsia" w:hAnsiTheme="minorEastAsia"/>
          <w:color w:val="000000" w:themeColor="text1"/>
          <w:sz w:val="24"/>
          <w:szCs w:val="24"/>
          <w:highlight w:val="none"/>
          <w14:textFill>
            <w14:solidFill>
              <w14:schemeClr w14:val="tx1"/>
            </w14:solidFill>
          </w14:textFill>
        </w:rPr>
        <w:t xml:space="preserve">▲模拟真实瞳孔对光反射，可自动调节瞳孔大小，瞳孔不等大及眨眼速度均可至少分3档进行调节，瞳孔大小设置范围0~9mm。左右瞳孔大小可根据模拟病例自动设定为不一样。对光反射可设置正常、迟钝、消失状态，反应速度设置范围0~10秒，可精确到0.1秒。</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1.3</w:t>
      </w:r>
      <w:r>
        <w:rPr>
          <w:rFonts w:hint="eastAsia" w:asciiTheme="minorEastAsia" w:hAnsiTheme="minorEastAsia"/>
          <w:color w:val="000000" w:themeColor="text1"/>
          <w:sz w:val="24"/>
          <w:szCs w:val="24"/>
          <w:highlight w:val="none"/>
          <w14:textFill>
            <w14:solidFill>
              <w14:schemeClr w14:val="tx1"/>
            </w14:solidFill>
          </w14:textFill>
        </w:rPr>
        <w:t xml:space="preserve">可实现颅内压监测的功能，设置颅内压数值及波形，范围从0~70mmHg，精确到小数点后一位。</w:t>
      </w:r>
      <w:r>
        <w:rPr>
          <w:rFonts w:asciiTheme="minorEastAsia" w:hAnsiTheme="minorEastAsia"/>
          <w:color w:val="000000" w:themeColor="text1"/>
          <w:sz w:val="24"/>
          <w:szCs w:val="24"/>
          <w:highlight w:val="none"/>
          <w14:textFill>
            <w14:solidFill>
              <w14:schemeClr w14:val="tx1"/>
            </w14:solidFill>
          </w14:textFill>
        </w:rPr>
        <w:t xml:space="preserve">可模拟不同程度的</w:t>
      </w:r>
      <w:r>
        <w:rPr>
          <w:rFonts w:hint="eastAsia" w:asciiTheme="minorEastAsia" w:hAnsiTheme="minorEastAsia"/>
          <w:color w:val="000000" w:themeColor="text1"/>
          <w:sz w:val="24"/>
          <w:szCs w:val="24"/>
          <w:highlight w:val="none"/>
          <w14:textFill>
            <w14:solidFill>
              <w14:schemeClr w14:val="tx1"/>
            </w14:solidFill>
          </w14:textFill>
        </w:rPr>
        <w:t xml:space="preserve">癫痫</w:t>
      </w:r>
      <w:r>
        <w:rPr>
          <w:rFonts w:asciiTheme="minorEastAsia" w:hAnsiTheme="minorEastAsia"/>
          <w:color w:val="000000" w:themeColor="text1"/>
          <w:sz w:val="24"/>
          <w:szCs w:val="24"/>
          <w:highlight w:val="none"/>
          <w14:textFill>
            <w14:solidFill>
              <w14:schemeClr w14:val="tx1"/>
            </w14:solidFill>
          </w14:textFill>
        </w:rPr>
        <w:t xml:space="preserve">。</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olor w:val="000000" w:themeColor="text1"/>
          <w:sz w:val="24"/>
          <w:szCs w:val="24"/>
          <w:highlight w:val="none"/>
          <w14:textFill>
            <w14:solidFill>
              <w14:schemeClr w14:val="tx1"/>
            </w14:solidFill>
          </w14:textFill>
        </w:rPr>
        <w:t xml:space="preserve">循环系统</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2.1</w:t>
      </w:r>
      <w:r>
        <w:rPr>
          <w:rFonts w:asciiTheme="minorEastAsia" w:hAnsiTheme="minorEastAsia"/>
          <w:color w:val="000000" w:themeColor="text1"/>
          <w:sz w:val="24"/>
          <w:szCs w:val="24"/>
          <w:highlight w:val="none"/>
          <w14:textFill>
            <w14:solidFill>
              <w14:schemeClr w14:val="tx1"/>
            </w14:solidFill>
          </w14:textFill>
        </w:rPr>
        <w:t xml:space="preserve">可触及颈动脉、</w:t>
      </w:r>
      <w:r>
        <w:rPr>
          <w:rFonts w:hint="eastAsia" w:asciiTheme="minorEastAsia" w:hAnsiTheme="minorEastAsia"/>
          <w:color w:val="000000" w:themeColor="text1"/>
          <w:sz w:val="24"/>
          <w:szCs w:val="24"/>
          <w:highlight w:val="none"/>
          <w14:textFill>
            <w14:solidFill>
              <w14:schemeClr w14:val="tx1"/>
            </w14:solidFill>
          </w14:textFill>
        </w:rPr>
        <w:t xml:space="preserve">桡</w:t>
      </w:r>
      <w:r>
        <w:rPr>
          <w:rFonts w:asciiTheme="minorEastAsia" w:hAnsiTheme="minorEastAsia"/>
          <w:color w:val="000000" w:themeColor="text1"/>
          <w:sz w:val="24"/>
          <w:szCs w:val="24"/>
          <w:highlight w:val="none"/>
          <w14:textFill>
            <w14:solidFill>
              <w14:schemeClr w14:val="tx1"/>
            </w14:solidFill>
          </w14:textFill>
        </w:rPr>
        <w:t xml:space="preserve">动脉</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股动脉</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足背动脉等</w:t>
      </w:r>
      <w:r>
        <w:rPr>
          <w:rFonts w:hint="eastAsia" w:asciiTheme="minorEastAsia" w:hAnsiTheme="minorEastAsia"/>
          <w:color w:val="000000" w:themeColor="text1"/>
          <w:sz w:val="24"/>
          <w:szCs w:val="24"/>
          <w:highlight w:val="none"/>
          <w14:textFill>
            <w14:solidFill>
              <w14:schemeClr w14:val="tx1"/>
            </w14:solidFill>
          </w14:textFill>
        </w:rPr>
        <w:t xml:space="preserve">10处以上脉搏触诊位置</w:t>
      </w:r>
      <w:r>
        <w:rPr>
          <w:rFonts w:asciiTheme="minorEastAsia" w:hAnsi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color w:val="000000" w:themeColor="text1"/>
          <w:sz w:val="24"/>
          <w:szCs w:val="24"/>
          <w:highlight w:val="none"/>
          <w14:textFill>
            <w14:solidFill>
              <w14:schemeClr w14:val="tx1"/>
            </w14:solidFill>
          </w14:textFill>
        </w:rPr>
        <w:t xml:space="preserve">可使用标准血压计和听诊器进行手臂血压测量，支持Korotkoff音听诊。可满足与正常人一致的心音听诊部位，</w:t>
      </w:r>
      <w:r>
        <w:rPr>
          <w:rFonts w:asciiTheme="minorEastAsia" w:hAnsiTheme="minorEastAsia"/>
          <w:color w:val="000000" w:themeColor="text1"/>
          <w:sz w:val="24"/>
          <w:szCs w:val="24"/>
          <w:highlight w:val="none"/>
          <w14:textFill>
            <w14:solidFill>
              <w14:schemeClr w14:val="tx1"/>
            </w14:solidFill>
          </w14:textFill>
        </w:rPr>
        <w:t xml:space="preserve">可</w:t>
      </w:r>
      <w:r>
        <w:rPr>
          <w:rFonts w:hint="eastAsia" w:asciiTheme="minorEastAsia" w:hAnsiTheme="minorEastAsia"/>
          <w:color w:val="000000" w:themeColor="text1"/>
          <w:sz w:val="24"/>
          <w:szCs w:val="24"/>
          <w:highlight w:val="none"/>
          <w14:textFill>
            <w14:solidFill>
              <w14:schemeClr w14:val="tx1"/>
            </w14:solidFill>
          </w14:textFill>
        </w:rPr>
        <w:t xml:space="preserve">模拟不少于10种以上的逼真的</w:t>
      </w:r>
      <w:r>
        <w:rPr>
          <w:rFonts w:asciiTheme="minorEastAsia" w:hAnsiTheme="minorEastAsia"/>
          <w:color w:val="000000" w:themeColor="text1"/>
          <w:sz w:val="24"/>
          <w:szCs w:val="24"/>
          <w:highlight w:val="none"/>
          <w14:textFill>
            <w14:solidFill>
              <w14:schemeClr w14:val="tx1"/>
            </w14:solidFill>
          </w14:textFill>
        </w:rPr>
        <w:t xml:space="preserve">正常或异常心肺听诊</w:t>
      </w:r>
      <w:r>
        <w:rPr>
          <w:rFonts w:hint="eastAsia" w:asciiTheme="minorEastAsia" w:hAnsiTheme="minorEastAsia"/>
          <w:color w:val="000000" w:themeColor="text1"/>
          <w:sz w:val="24"/>
          <w:szCs w:val="24"/>
          <w:highlight w:val="none"/>
          <w14:textFill>
            <w14:solidFill>
              <w14:schemeClr w14:val="tx1"/>
            </w14:solidFill>
          </w14:textFill>
        </w:rPr>
        <w:t xml:space="preserve">音</w:t>
      </w:r>
      <w:r>
        <w:rPr>
          <w:rFonts w:asciiTheme="minorEastAsia" w:hAnsi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color w:val="000000" w:themeColor="text1"/>
          <w:sz w:val="24"/>
          <w:szCs w:val="24"/>
          <w:highlight w:val="none"/>
          <w14:textFill>
            <w14:solidFill>
              <w14:schemeClr w14:val="tx1"/>
            </w14:solidFill>
          </w14:textFill>
        </w:rPr>
        <w:t xml:space="preserve">可选择</w:t>
      </w:r>
      <w:r>
        <w:rPr>
          <w:rFonts w:asciiTheme="minorEastAsia" w:hAnsiTheme="minorEastAsia"/>
          <w:color w:val="000000" w:themeColor="text1"/>
          <w:sz w:val="24"/>
          <w:szCs w:val="24"/>
          <w:highlight w:val="none"/>
          <w14:textFill>
            <w14:solidFill>
              <w14:schemeClr w14:val="tx1"/>
            </w14:solidFill>
          </w14:textFill>
        </w:rPr>
        <w:t xml:space="preserve">多种心音，</w:t>
      </w:r>
      <w:r>
        <w:rPr>
          <w:rFonts w:hint="eastAsia" w:asciiTheme="minorEastAsia" w:hAnsiTheme="minorEastAsia"/>
          <w:color w:val="000000" w:themeColor="text1"/>
          <w:sz w:val="24"/>
          <w:szCs w:val="24"/>
          <w:highlight w:val="none"/>
          <w14:textFill>
            <w14:solidFill>
              <w14:schemeClr w14:val="tx1"/>
            </w14:solidFill>
          </w14:textFill>
        </w:rPr>
        <w:t xml:space="preserve">且</w:t>
      </w:r>
      <w:r>
        <w:rPr>
          <w:rFonts w:asciiTheme="minorEastAsia" w:hAnsiTheme="minorEastAsia"/>
          <w:color w:val="000000" w:themeColor="text1"/>
          <w:sz w:val="24"/>
          <w:szCs w:val="24"/>
          <w:highlight w:val="none"/>
          <w14:textFill>
            <w14:solidFill>
              <w14:schemeClr w14:val="tx1"/>
            </w14:solidFill>
          </w14:textFill>
        </w:rPr>
        <w:t xml:space="preserve">与脉搏同步，强度和速度可调。</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2.2</w:t>
      </w:r>
      <w:r>
        <w:rPr>
          <w:rFonts w:hint="eastAsia" w:asciiTheme="minorEastAsia" w:hAnsiTheme="minorEastAsia"/>
          <w:color w:val="000000" w:themeColor="text1"/>
          <w:sz w:val="24"/>
          <w:szCs w:val="24"/>
          <w:highlight w:val="none"/>
          <w14:textFill>
            <w14:solidFill>
              <w14:schemeClr w14:val="tx1"/>
            </w14:solidFill>
          </w14:textFill>
        </w:rPr>
        <w:t xml:space="preserve">使用真实心电图、心电监护仪、除颤仪，可实时监测任何导联的心电图，进行除颤、复律与同步监测心律功能。皮肤内置感应器，可感应真实的电极片和AED，实施心脏复律和除颤操作。根据预设病例即刻出现与临床病例相对应的心电图表现，且能够随着病情演变而变化。</w:t>
      </w:r>
      <w:r>
        <w:rPr>
          <w:rFonts w:asciiTheme="minorEastAsia" w:hAnsiTheme="minorEastAsia"/>
          <w:color w:val="000000" w:themeColor="text1"/>
          <w:sz w:val="24"/>
          <w:szCs w:val="24"/>
          <w:highlight w:val="none"/>
          <w14:textFill>
            <w14:solidFill>
              <w14:schemeClr w14:val="tx1"/>
            </w14:solidFill>
          </w14:textFill>
        </w:rPr>
        <w:t xml:space="preserve">内置</w:t>
      </w:r>
      <w:r>
        <w:rPr>
          <w:rFonts w:hint="eastAsia" w:asciiTheme="minorEastAsia" w:hAnsiTheme="minorEastAsia"/>
          <w:color w:val="000000" w:themeColor="text1"/>
          <w:sz w:val="24"/>
          <w:szCs w:val="24"/>
          <w:highlight w:val="none"/>
          <w14:textFill>
            <w14:solidFill>
              <w14:schemeClr w14:val="tx1"/>
            </w14:solidFill>
          </w14:textFill>
        </w:rPr>
        <w:t xml:space="preserve">心律数据库、</w:t>
      </w:r>
      <w:r>
        <w:rPr>
          <w:rFonts w:asciiTheme="minorEastAsia" w:hAnsiTheme="minorEastAsia"/>
          <w:color w:val="000000" w:themeColor="text1"/>
          <w:sz w:val="24"/>
          <w:szCs w:val="24"/>
          <w:highlight w:val="none"/>
          <w14:textFill>
            <w14:solidFill>
              <w14:schemeClr w14:val="tx1"/>
            </w14:solidFill>
          </w14:textFill>
        </w:rPr>
        <w:t xml:space="preserve">心电图图库与模拟人ECG和模拟人病情相符，</w:t>
      </w:r>
      <w:r>
        <w:rPr>
          <w:rFonts w:hint="eastAsia" w:asciiTheme="minorEastAsia" w:hAnsiTheme="minorEastAsia"/>
          <w:color w:val="000000" w:themeColor="text1"/>
          <w:sz w:val="24"/>
          <w:szCs w:val="24"/>
          <w:highlight w:val="none"/>
          <w14:textFill>
            <w14:solidFill>
              <w14:schemeClr w14:val="tx1"/>
            </w14:solidFill>
          </w14:textFill>
        </w:rPr>
        <w:t xml:space="preserve">具有心肌梗塞模式，可自主设置心肌梗塞部位及范围，配置虚拟AED教学机。</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2.3</w:t>
      </w:r>
      <w:r>
        <w:rPr>
          <w:rFonts w:asciiTheme="minorEastAsia" w:hAnsiTheme="minorEastAsia"/>
          <w:color w:val="000000" w:themeColor="text1"/>
          <w:sz w:val="24"/>
          <w:szCs w:val="24"/>
          <w:highlight w:val="none"/>
          <w14:textFill>
            <w14:solidFill>
              <w14:schemeClr w14:val="tx1"/>
            </w14:solidFill>
          </w14:textFill>
        </w:rPr>
        <w:t xml:space="preserve">含自动感应系统，对于学生进行除颤、起搏等操作模拟人会自动感应，产生反应并自动记录到日志中。</w:t>
      </w:r>
      <w:r>
        <w:rPr>
          <w:rFonts w:hint="eastAsia" w:asciiTheme="minorEastAsia" w:hAnsiTheme="minorEastAsia"/>
          <w:color w:val="000000" w:themeColor="text1"/>
          <w:sz w:val="24"/>
          <w:szCs w:val="24"/>
          <w:highlight w:val="none"/>
          <w14:textFill>
            <w14:solidFill>
              <w14:schemeClr w14:val="tx1"/>
            </w14:solidFill>
          </w14:textFill>
        </w:rPr>
        <w:t xml:space="preserve"> </w:t>
      </w:r>
      <w:r>
        <w:rPr>
          <w:highlight w:val="none"/>
        </w:rPr>
      </w:r>
    </w:p>
    <w:p>
      <w:pPr>
        <w:numPr>
          <w:ilvl w:val="0"/>
          <w:numId w:val="0"/>
        </w:numPr>
        <w:contextualSpacing/>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color w:val="000000" w:themeColor="text1"/>
          <w:sz w:val="24"/>
          <w:szCs w:val="24"/>
          <w:highlight w:val="none"/>
          <w14:textFill>
            <w14:solidFill>
              <w14:schemeClr w14:val="tx1"/>
            </w14:solidFill>
          </w14:textFill>
        </w:rPr>
        <w:t xml:space="preserve">呼吸系统</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3.1</w:t>
      </w:r>
      <w:r>
        <w:rPr>
          <w:rFonts w:asciiTheme="minorEastAsia" w:hAnsiTheme="minorEastAsia"/>
          <w:color w:val="000000" w:themeColor="text1"/>
          <w:sz w:val="24"/>
          <w:szCs w:val="24"/>
          <w:highlight w:val="none"/>
          <w14:textFill>
            <w14:solidFill>
              <w14:schemeClr w14:val="tx1"/>
            </w14:solidFill>
          </w14:textFill>
        </w:rPr>
        <w:t xml:space="preserve">具有成人特征的气道（包括口咽、鼻咽和喉部），可见逼真的声门。可直接进行喉镜检查和经口腔、鼻腔插管。可以进行鼻腔通气道置入术、喉罩置入术等急救置管操作。</w:t>
      </w:r>
      <w:r>
        <w:rPr>
          <w:rFonts w:hint="eastAsia" w:asciiTheme="minorEastAsia" w:hAnsiTheme="minorEastAsia"/>
          <w:color w:val="000000" w:themeColor="text1"/>
          <w:sz w:val="24"/>
          <w:szCs w:val="24"/>
          <w:highlight w:val="none"/>
          <w14:textFill>
            <w14:solidFill>
              <w14:schemeClr w14:val="tx1"/>
            </w14:solidFill>
          </w14:textFill>
        </w:rPr>
        <w:t xml:space="preserve">满足各种气管插管方式，气管插管时可探测插管深度并予以提示和记录，设置舌水肿、咽部水肿等困难气道。</w:t>
      </w:r>
      <w:r>
        <w:rPr>
          <w:rFonts w:asciiTheme="minorEastAsia" w:hAnsiTheme="minorEastAsia"/>
          <w:color w:val="000000" w:themeColor="text1"/>
          <w:sz w:val="24"/>
          <w:szCs w:val="24"/>
          <w:highlight w:val="none"/>
          <w14:textFill>
            <w14:solidFill>
              <w14:schemeClr w14:val="tx1"/>
            </w14:solidFill>
          </w14:textFill>
        </w:rPr>
        <w:t xml:space="preserve">可模拟异常插管时的表现，</w:t>
      </w:r>
      <w:r>
        <w:rPr>
          <w:rFonts w:hint="eastAsia" w:asciiTheme="minorEastAsia" w:hAnsiTheme="minorEastAsia"/>
          <w:color w:val="000000" w:themeColor="text1"/>
          <w:sz w:val="24"/>
          <w:szCs w:val="24"/>
          <w:highlight w:val="none"/>
          <w14:textFill>
            <w14:solidFill>
              <w14:schemeClr w14:val="tx1"/>
            </w14:solidFill>
          </w14:textFill>
        </w:rPr>
        <w:t xml:space="preserve">如误插食道，</w:t>
      </w:r>
      <w:r>
        <w:rPr>
          <w:rFonts w:asciiTheme="minorEastAsia" w:hAnsiTheme="minorEastAsia"/>
          <w:color w:val="000000" w:themeColor="text1"/>
          <w:sz w:val="24"/>
          <w:szCs w:val="24"/>
          <w:highlight w:val="none"/>
          <w14:textFill>
            <w14:solidFill>
              <w14:schemeClr w14:val="tx1"/>
            </w14:solidFill>
          </w14:textFill>
        </w:rPr>
        <w:t xml:space="preserve">可引起胃的隆起。插管过深，可引起单侧胸廓起伏，与临床实际相符合。内置气管插管感应器，可监测插管深度，并自动记录到操作日志中。</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3.2</w:t>
      </w:r>
      <w:r>
        <w:rPr>
          <w:rFonts w:hint="eastAsia" w:asciiTheme="minorEastAsia" w:hAnsiTheme="minorEastAsia"/>
          <w:color w:val="000000" w:themeColor="text1"/>
          <w:sz w:val="24"/>
          <w:szCs w:val="24"/>
          <w:highlight w:val="none"/>
          <w14:textFill>
            <w14:solidFill>
              <w14:schemeClr w14:val="tx1"/>
            </w14:solidFill>
          </w14:textFill>
        </w:rPr>
        <w:t xml:space="preserve">能自主呼吸并伴有胸廓起伏，可设置单侧或双侧胸廓起伏，胸廓起伏和通气同步（自主或正压通气）。</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3.3</w:t>
      </w:r>
      <w:r>
        <w:rPr>
          <w:rFonts w:hint="eastAsia" w:asciiTheme="minorEastAsia" w:hAnsiTheme="minorEastAsia"/>
          <w:color w:val="000000" w:themeColor="text1"/>
          <w:sz w:val="24"/>
          <w:szCs w:val="24"/>
          <w:highlight w:val="none"/>
          <w14:textFill>
            <w14:solidFill>
              <w14:schemeClr w14:val="tx1"/>
            </w14:solidFill>
          </w14:textFill>
        </w:rPr>
        <w:t xml:space="preserve">▲可模拟正常和异常呼吸音（与自主呼吸同步），用标准的听诊器在肺尖、肺叶、肺底、背部可闻及。可实现听诊多种上呼吸道音，满足不少于8处呼吸音听诊位置，可以模拟多种肺部和心率异常疾病，音量可调，有正常和心音遥远、收缩期杂音、S3、S4等。</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3.4</w:t>
      </w:r>
      <w:r>
        <w:rPr>
          <w:rFonts w:asciiTheme="minorEastAsia" w:hAnsiTheme="minorEastAsia"/>
          <w:color w:val="000000" w:themeColor="text1"/>
          <w:sz w:val="24"/>
          <w:szCs w:val="24"/>
          <w:highlight w:val="none"/>
          <w14:textFill>
            <w14:solidFill>
              <w14:schemeClr w14:val="tx1"/>
            </w14:solidFill>
          </w14:textFill>
        </w:rPr>
        <w:t xml:space="preserve">可进行机械通气</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包括简易呼吸球囊，无创、有创呼吸机</w:t>
      </w:r>
      <w:r>
        <w:rPr>
          <w:rFonts w:hint="eastAsia" w:asciiTheme="minorEastAsia" w:hAnsiTheme="minorEastAsia"/>
          <w:color w:val="000000" w:themeColor="text1"/>
          <w:sz w:val="24"/>
          <w:szCs w:val="24"/>
          <w:highlight w:val="none"/>
          <w14:textFill>
            <w14:solidFill>
              <w14:schemeClr w14:val="tx1"/>
            </w14:solidFill>
          </w14:textFill>
        </w:rPr>
        <w:t xml:space="preserve">等，与临床操作一致。配置智能模拟肺，可监测至少4个程度的肺阻力和肺顺应性。</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4.</w:t>
      </w:r>
      <w:r>
        <w:rPr>
          <w:rFonts w:hint="eastAsia" w:cs="Arial" w:asciiTheme="minorEastAsia" w:hAnsiTheme="minorEastAsia"/>
          <w:color w:val="000000"/>
          <w:sz w:val="24"/>
          <w:szCs w:val="24"/>
          <w:highlight w:val="none"/>
        </w:rPr>
        <w:t xml:space="preserve">消化系统</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4.1</w:t>
      </w:r>
      <w:r>
        <w:rPr>
          <w:rFonts w:asciiTheme="minorEastAsia" w:hAnsiTheme="minorEastAsia"/>
          <w:color w:val="000000" w:themeColor="text1"/>
          <w:sz w:val="24"/>
          <w:szCs w:val="24"/>
          <w:highlight w:val="none"/>
          <w14:textFill>
            <w14:solidFill>
              <w14:schemeClr w14:val="tx1"/>
            </w14:solidFill>
          </w14:textFill>
        </w:rPr>
        <w:t xml:space="preserve">腹部分为4个</w:t>
      </w:r>
      <w:r>
        <w:rPr>
          <w:rFonts w:hint="eastAsia" w:asciiTheme="minorEastAsia" w:hAnsiTheme="minorEastAsia"/>
          <w:color w:val="000000" w:themeColor="text1"/>
          <w:sz w:val="24"/>
          <w:szCs w:val="24"/>
          <w:highlight w:val="none"/>
          <w14:textFill>
            <w14:solidFill>
              <w14:schemeClr w14:val="tx1"/>
            </w14:solidFill>
          </w14:textFill>
        </w:rPr>
        <w:t xml:space="preserve">及以上</w:t>
      </w:r>
      <w:r>
        <w:rPr>
          <w:rFonts w:asciiTheme="minorEastAsia" w:hAnsiTheme="minorEastAsia"/>
          <w:color w:val="000000" w:themeColor="text1"/>
          <w:sz w:val="24"/>
          <w:szCs w:val="24"/>
          <w:highlight w:val="none"/>
          <w14:textFill>
            <w14:solidFill>
              <w14:schemeClr w14:val="tx1"/>
            </w14:solidFill>
          </w14:textFill>
        </w:rPr>
        <w:t xml:space="preserve">象限，可闻及多种肠鸣音，各个肠鸣音听诊区间可行单独设定听诊状态</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可模拟过度吸气或插管错误而造成的胃扩张</w:t>
      </w:r>
      <w:r>
        <w:rPr>
          <w:rFonts w:hint="eastAsia" w:asciiTheme="minorEastAsia" w:hAnsiTheme="minorEastAsia"/>
          <w:color w:val="000000" w:themeColor="text1"/>
          <w:sz w:val="24"/>
          <w:szCs w:val="24"/>
          <w:highlight w:val="none"/>
          <w14:textFill>
            <w14:solidFill>
              <w14:schemeClr w14:val="tx1"/>
            </w14:solidFill>
          </w14:textFill>
        </w:rPr>
        <w:t xml:space="preserve">。</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4.2</w:t>
      </w:r>
      <w:r>
        <w:rPr>
          <w:rFonts w:asciiTheme="minorEastAsia" w:hAnsiTheme="minorEastAsia"/>
          <w:color w:val="000000" w:themeColor="text1"/>
          <w:sz w:val="24"/>
          <w:szCs w:val="24"/>
          <w:highlight w:val="none"/>
          <w14:textFill>
            <w14:solidFill>
              <w14:schemeClr w14:val="tx1"/>
            </w14:solidFill>
          </w14:textFill>
        </w:rPr>
        <w:t xml:space="preserve">进行真实的肠道疾病的诊断，模拟人腹部由程序控制的肠鸣音，可设置为肠鸣音听不到、正常、腹鸣、亢进等不同的肠鸣音</w:t>
      </w:r>
      <w:r>
        <w:rPr>
          <w:rFonts w:hint="eastAsia" w:asciiTheme="minorEastAsia" w:hAnsiTheme="minorEastAsia"/>
          <w:color w:val="000000" w:themeColor="text1"/>
          <w:sz w:val="24"/>
          <w:szCs w:val="24"/>
          <w:highlight w:val="none"/>
          <w14:textFill>
            <w14:solidFill>
              <w14:schemeClr w14:val="tx1"/>
            </w14:solidFill>
          </w14:textFill>
        </w:rPr>
        <w:t xml:space="preserve">。</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5.</w:t>
      </w:r>
      <w:r>
        <w:rPr>
          <w:rFonts w:hint="eastAsia" w:cs="Arial" w:asciiTheme="minorEastAsia" w:hAnsiTheme="minorEastAsia"/>
          <w:color w:val="000000"/>
          <w:sz w:val="24"/>
          <w:szCs w:val="24"/>
          <w:highlight w:val="none"/>
        </w:rPr>
        <w:t xml:space="preserve">心肺脑复苏</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5.1</w:t>
      </w:r>
      <w:r>
        <w:rPr>
          <w:rFonts w:hint="eastAsia" w:asciiTheme="minorEastAsia" w:hAnsiTheme="minorEastAsia"/>
          <w:color w:val="000000" w:themeColor="text1"/>
          <w:sz w:val="24"/>
          <w:szCs w:val="24"/>
          <w:highlight w:val="none"/>
          <w14:textFill>
            <w14:solidFill>
              <w14:schemeClr w14:val="tx1"/>
            </w14:solidFill>
          </w14:textFill>
        </w:rPr>
        <w:t xml:space="preserve">模拟人可感知CPR操作，自动记录和测量。</w:t>
      </w:r>
      <w:r>
        <w:rPr>
          <w:rFonts w:asciiTheme="minorEastAsia" w:hAnsiTheme="minorEastAsia"/>
          <w:color w:val="000000" w:themeColor="text1"/>
          <w:sz w:val="24"/>
          <w:szCs w:val="24"/>
          <w:highlight w:val="none"/>
          <w14:textFill>
            <w14:solidFill>
              <w14:schemeClr w14:val="tx1"/>
            </w14:solidFill>
          </w14:textFill>
        </w:rPr>
        <w:t xml:space="preserve">脉搏强度可随模拟人血压和心电图同步改变。</w:t>
      </w:r>
      <w:r>
        <w:rPr>
          <w:rFonts w:hint="eastAsia" w:asciiTheme="minorEastAsia" w:hAnsiTheme="minorEastAsia"/>
          <w:color w:val="000000" w:themeColor="text1"/>
          <w:sz w:val="24"/>
          <w:szCs w:val="24"/>
          <w:highlight w:val="none"/>
          <w14:textFill>
            <w14:solidFill>
              <w14:schemeClr w14:val="tx1"/>
            </w14:solidFill>
          </w14:textFill>
        </w:rPr>
        <w:t xml:space="preserve">CPR胸外按压可以直观体现在监护仪上；可进行口对口、简易呼吸器具通气；有效通气后可见到胸部起伏。有CPR质量监控功能，包括平均按压频率、按压回弹量、深度，通气量、通气频率、按压间断时间，按压通气循环周期，心肺复苏总时间等。</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5.2</w:t>
      </w:r>
      <w:r>
        <w:rPr>
          <w:rFonts w:hint="eastAsia" w:asciiTheme="minorEastAsia" w:hAnsiTheme="minorEastAsia"/>
          <w:color w:val="000000" w:themeColor="text1"/>
          <w:sz w:val="24"/>
          <w:szCs w:val="24"/>
          <w:highlight w:val="none"/>
          <w14:textFill>
            <w14:solidFill>
              <w14:schemeClr w14:val="tx1"/>
            </w14:solidFill>
          </w14:textFill>
        </w:rPr>
        <w:t xml:space="preserve">学员进行CPR操作时，控制端模拟人操作软件，实时以动态按压波形、通气波形的形式反馈学员操作情况。当学员进行操作时，导师可以通过控制端软件直观观察学员每次操作是否达标。产品出厂时，自动设置为2020美国心脏学会的标准，之后5年一次标准调整时，也可以自行设定。</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5.3</w:t>
      </w:r>
      <w:r>
        <w:rPr>
          <w:rFonts w:hint="eastAsia" w:asciiTheme="minorEastAsia" w:hAnsiTheme="minorEastAsia"/>
          <w:color w:val="000000" w:themeColor="text1"/>
          <w:sz w:val="24"/>
          <w:szCs w:val="24"/>
          <w:highlight w:val="none"/>
          <w14:textFill>
            <w14:solidFill>
              <w14:schemeClr w14:val="tx1"/>
            </w14:solidFill>
          </w14:textFill>
        </w:rPr>
        <w:t xml:space="preserve">具有先进的AED训练系统，且按照规范实施。</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6.</w:t>
      </w:r>
      <w:r>
        <w:rPr>
          <w:rFonts w:hint="eastAsia" w:cs="Arial" w:asciiTheme="minorEastAsia" w:hAnsiTheme="minorEastAsia"/>
          <w:color w:val="000000"/>
          <w:sz w:val="24"/>
          <w:szCs w:val="24"/>
          <w:highlight w:val="none"/>
        </w:rPr>
        <w:t xml:space="preserve">用药系统</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6.1</w:t>
      </w:r>
      <w:r>
        <w:rPr>
          <w:rFonts w:hint="eastAsia" w:asciiTheme="minorEastAsia" w:hAnsiTheme="minorEastAsia"/>
          <w:color w:val="000000" w:themeColor="text1"/>
          <w:sz w:val="24"/>
          <w:szCs w:val="24"/>
          <w:highlight w:val="none"/>
          <w14:textFill>
            <w14:solidFill>
              <w14:schemeClr w14:val="tx1"/>
            </w14:solidFill>
          </w14:textFill>
        </w:rPr>
        <w:t xml:space="preserve">▲能</w:t>
      </w:r>
      <w:r>
        <w:rPr>
          <w:rFonts w:asciiTheme="minorEastAsia" w:hAnsiTheme="minorEastAsia"/>
          <w:color w:val="000000" w:themeColor="text1"/>
          <w:sz w:val="24"/>
          <w:szCs w:val="24"/>
          <w:highlight w:val="none"/>
          <w14:textFill>
            <w14:solidFill>
              <w14:schemeClr w14:val="tx1"/>
            </w14:solidFill>
          </w14:textFill>
        </w:rPr>
        <w:t xml:space="preserve">自动识别所注射药物种类和剂量，</w:t>
      </w:r>
      <w:r>
        <w:rPr>
          <w:rFonts w:hint="eastAsia" w:asciiTheme="minorEastAsia" w:hAnsiTheme="minorEastAsia"/>
          <w:color w:val="000000" w:themeColor="text1"/>
          <w:sz w:val="24"/>
          <w:szCs w:val="24"/>
          <w:highlight w:val="none"/>
          <w14:textFill>
            <w14:solidFill>
              <w14:schemeClr w14:val="tx1"/>
            </w14:solidFill>
          </w14:textFill>
        </w:rPr>
        <w:t xml:space="preserve">模拟人能够根据药物种类、剂量、给药途径等做出自主反应，</w:t>
      </w:r>
      <w:r>
        <w:rPr>
          <w:rFonts w:asciiTheme="minorEastAsia" w:hAnsiTheme="minorEastAsia"/>
          <w:color w:val="000000" w:themeColor="text1"/>
          <w:sz w:val="24"/>
          <w:szCs w:val="24"/>
          <w:highlight w:val="none"/>
          <w14:textFill>
            <w14:solidFill>
              <w14:schemeClr w14:val="tx1"/>
            </w14:solidFill>
          </w14:textFill>
        </w:rPr>
        <w:t xml:space="preserve">并实时记录到日志中。配有</w:t>
      </w:r>
      <w:r>
        <w:rPr>
          <w:rFonts w:hint="eastAsia" w:asciiTheme="minorEastAsia" w:hAnsiTheme="minorEastAsia"/>
          <w:color w:val="000000" w:themeColor="text1"/>
          <w:sz w:val="24"/>
          <w:szCs w:val="24"/>
          <w:highlight w:val="none"/>
          <w14:textFill>
            <w14:solidFill>
              <w14:schemeClr w14:val="tx1"/>
            </w14:solidFill>
          </w14:textFill>
        </w:rPr>
        <w:t xml:space="preserve">不少于</w:t>
      </w:r>
      <w:r>
        <w:rPr>
          <w:rFonts w:asciiTheme="minorEastAsia" w:hAnsiTheme="minorEastAsia"/>
          <w:color w:val="000000" w:themeColor="text1"/>
          <w:sz w:val="24"/>
          <w:szCs w:val="24"/>
          <w:highlight w:val="none"/>
          <w14:textFill>
            <w14:solidFill>
              <w14:schemeClr w14:val="tx1"/>
            </w14:solidFill>
          </w14:textFill>
        </w:rPr>
        <w:t xml:space="preserve">20支带有FIBD标签的注射器</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注射器可编辑药物</w:t>
      </w: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并且不同病情下可更改成不同药物</w:t>
      </w:r>
      <w:r>
        <w:rPr>
          <w:rFonts w:hint="eastAsia" w:asciiTheme="minorEastAsia" w:hAnsiTheme="minorEastAsia"/>
          <w:color w:val="000000" w:themeColor="text1"/>
          <w:sz w:val="24"/>
          <w:szCs w:val="24"/>
          <w:highlight w:val="none"/>
          <w14:textFill>
            <w14:solidFill>
              <w14:schemeClr w14:val="tx1"/>
            </w14:solidFill>
          </w14:textFill>
        </w:rPr>
        <w:t xml:space="preserve">，无限增加可自动识别的药物</w:t>
      </w:r>
      <w:r>
        <w:rPr>
          <w:rFonts w:asciiTheme="minorEastAsia" w:hAnsiTheme="minorEastAsia"/>
          <w:color w:val="000000" w:themeColor="text1"/>
          <w:sz w:val="24"/>
          <w:szCs w:val="24"/>
          <w:highlight w:val="none"/>
          <w14:textFill>
            <w14:solidFill>
              <w14:schemeClr w14:val="tx1"/>
            </w14:solidFill>
          </w14:textFill>
        </w:rPr>
        <w:t xml:space="preserve">。可无限扩充可识别药物及药理分析的种类。</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6.2</w:t>
      </w:r>
      <w:r>
        <w:rPr>
          <w:rFonts w:asciiTheme="minorEastAsia" w:hAnsiTheme="minorEastAsia"/>
          <w:color w:val="000000" w:themeColor="text1"/>
          <w:sz w:val="24"/>
          <w:szCs w:val="24"/>
          <w:highlight w:val="none"/>
          <w14:textFill>
            <w14:solidFill>
              <w14:schemeClr w14:val="tx1"/>
            </w14:solidFill>
          </w14:textFill>
        </w:rPr>
        <w:t xml:space="preserve">预设多种临床药物： 内容涵盖ACLS高级复苏药物，提供功能强大的药物治疗编辑器和多种给药途径。</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7.</w:t>
      </w:r>
      <w:r>
        <w:rPr>
          <w:rFonts w:hint="eastAsia" w:cs="Arial" w:asciiTheme="minorEastAsia" w:hAnsiTheme="minorEastAsia"/>
          <w:color w:val="000000"/>
          <w:sz w:val="24"/>
          <w:szCs w:val="24"/>
          <w:highlight w:val="none"/>
        </w:rPr>
        <w:t xml:space="preserve">其他：包括但不限于模拟超声训练模块、模拟呼吸机、模拟监护仪等。</w:t>
      </w:r>
      <w:r>
        <w:rPr>
          <w:highlight w:val="none"/>
        </w:rPr>
      </w:r>
    </w:p>
    <w:p>
      <w:pPr>
        <w:pStyle w:val="835"/>
        <w:numPr>
          <w:ilvl w:val="0"/>
          <w:numId w:val="0"/>
        </w:numPr>
        <w:ind w:firstLine="482"/>
        <w:keepLines w:val="0"/>
        <w:keepNext w:val="0"/>
        <w:pageBreakBefore w:val="0"/>
        <w:spacing w:after="0" w:line="360" w:lineRule="auto"/>
        <w:widowControl w:val="off"/>
        <w:rPr>
          <w:rFonts w:hint="eastAsia" w:asciiTheme="minorEastAsia" w:hAnsiTheme="minorEastAsia"/>
          <w:b/>
          <w:bCs/>
          <w:sz w:val="24"/>
          <w:szCs w:val="24"/>
          <w:highlight w:val="none"/>
        </w:rPr>
      </w:pP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三）</w:t>
      </w:r>
      <w:r>
        <w:rPr>
          <w:rFonts w:hint="eastAsia" w:asciiTheme="minorEastAsia" w:hAnsiTheme="minorEastAsia"/>
          <w:b/>
          <w:bCs/>
          <w:sz w:val="24"/>
          <w:szCs w:val="24"/>
          <w:highlight w:val="none"/>
        </w:rPr>
        <w:t xml:space="preserve">软件系统</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1.</w:t>
      </w:r>
      <w:r>
        <w:rPr>
          <w:rFonts w:hint="eastAsia" w:cs="Arial" w:asciiTheme="minorEastAsia" w:hAnsiTheme="minorEastAsia"/>
          <w:color w:val="000000"/>
          <w:sz w:val="24"/>
          <w:szCs w:val="24"/>
          <w:highlight w:val="none"/>
        </w:rPr>
        <w:t xml:space="preserve">支持全中文操作软件，</w:t>
      </w:r>
      <w:r>
        <w:rPr>
          <w:rFonts w:cs="Arial" w:asciiTheme="minorEastAsia" w:hAnsiTheme="minorEastAsia"/>
          <w:color w:val="000000"/>
          <w:sz w:val="24"/>
          <w:szCs w:val="24"/>
          <w:highlight w:val="none"/>
        </w:rPr>
        <w:t xml:space="preserve">适用于Windows系统，操作界面友好。</w:t>
      </w:r>
      <w:r>
        <w:rPr>
          <w:rFonts w:hint="eastAsia" w:cs="Arial" w:asciiTheme="minorEastAsia" w:hAnsiTheme="minorEastAsia"/>
          <w:color w:val="000000"/>
          <w:sz w:val="24"/>
          <w:szCs w:val="24"/>
          <w:highlight w:val="none"/>
        </w:rPr>
        <w:t xml:space="preserve">具有3种可选控制模式：包含导师模式、手动模式、主题模式。</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2.</w:t>
      </w:r>
      <w:r>
        <w:rPr>
          <w:rFonts w:cs="Arial" w:asciiTheme="minorEastAsia" w:hAnsiTheme="minorEastAsia"/>
          <w:color w:val="000000"/>
          <w:sz w:val="24"/>
          <w:szCs w:val="24"/>
          <w:highlight w:val="none"/>
        </w:rPr>
        <w:t xml:space="preserve">患者平台强大的事件记录功能，每一步操作软件系统都可将监视器中的生命体征指标记录一次，用药记录及事件操作记录等以供治疗回顾使用</w:t>
      </w:r>
      <w:r>
        <w:rPr>
          <w:rFonts w:hint="eastAsia" w:cs="Arial" w:asciiTheme="minorEastAsia" w:hAnsiTheme="minorEastAsia"/>
          <w:color w:val="000000"/>
          <w:sz w:val="24"/>
          <w:szCs w:val="24"/>
          <w:highlight w:val="none"/>
        </w:rPr>
        <w:t xml:space="preserve">。</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3.</w:t>
      </w:r>
      <w:r>
        <w:rPr>
          <w:rFonts w:hint="eastAsia" w:cs="Arial" w:asciiTheme="minorEastAsia" w:hAnsiTheme="minorEastAsia"/>
          <w:color w:val="000000"/>
          <w:sz w:val="24"/>
          <w:szCs w:val="24"/>
          <w:highlight w:val="none"/>
        </w:rPr>
        <w:t xml:space="preserve">可显示不少于前后10分钟体征参数随时间变化的曲线，并随着新的治疗操作随时校正曲线，使导师对模拟人的体征走向有清晰的了解，并可根据学员水平表现调整培训难易度，把握整个培训过程。</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4.</w:t>
      </w:r>
      <w:r>
        <w:rPr>
          <w:rFonts w:cs="Arial" w:asciiTheme="minorEastAsia" w:hAnsiTheme="minorEastAsia"/>
          <w:color w:val="000000"/>
          <w:sz w:val="24"/>
          <w:szCs w:val="24"/>
          <w:highlight w:val="none"/>
        </w:rPr>
        <w:t xml:space="preserve">病例运行期间，可直接点击节点（或称框架），改变病例发展方向，从而打破病例编辑的局限性以及消除病例编辑时繁复的逻辑思维要求。同时增加病例运行时的可操控性和增加病例的多变性。</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5.</w:t>
      </w:r>
      <w:r>
        <w:rPr>
          <w:rFonts w:cs="Arial" w:asciiTheme="minorEastAsia" w:hAnsiTheme="minorEastAsia"/>
          <w:color w:val="000000"/>
          <w:sz w:val="24"/>
          <w:szCs w:val="24"/>
          <w:highlight w:val="none"/>
        </w:rPr>
        <w:t xml:space="preserve">通过运行屏幕细节记录，可快速浏览模拟人实施状态，可在运行期间点击按钮，控制模拟人的生理参数，</w:t>
      </w:r>
      <w:r>
        <w:rPr>
          <w:rFonts w:hint="eastAsia" w:cs="Arial" w:asciiTheme="minorEastAsia" w:hAnsiTheme="minorEastAsia"/>
          <w:color w:val="000000"/>
          <w:sz w:val="24"/>
          <w:szCs w:val="24"/>
          <w:highlight w:val="none"/>
        </w:rPr>
        <w:t xml:space="preserve">使</w:t>
      </w:r>
      <w:r>
        <w:rPr>
          <w:rFonts w:cs="Arial" w:asciiTheme="minorEastAsia" w:hAnsiTheme="minorEastAsia"/>
          <w:color w:val="000000"/>
          <w:sz w:val="24"/>
          <w:szCs w:val="24"/>
          <w:highlight w:val="none"/>
        </w:rPr>
        <w:t xml:space="preserve">模拟人的生理状态跟随医护人员的救治做出反馈。</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6.</w:t>
      </w:r>
      <w:r>
        <w:rPr>
          <w:rFonts w:cs="Arial" w:asciiTheme="minorEastAsia" w:hAnsiTheme="minorEastAsia"/>
          <w:color w:val="000000"/>
          <w:sz w:val="24"/>
          <w:szCs w:val="24"/>
          <w:highlight w:val="none"/>
        </w:rPr>
        <w:t xml:space="preserve">仿真案例运行时可与绑定的“患者”、情景、教学内容及已选设置自动运行，可由导师控制模块，允许在任何时间对模拟人生命体征进行控制</w:t>
      </w:r>
      <w:r>
        <w:rPr>
          <w:rFonts w:hint="eastAsia" w:cs="Arial" w:asciiTheme="minorEastAsia" w:hAnsiTheme="minorEastAsia"/>
          <w:color w:val="000000"/>
          <w:sz w:val="24"/>
          <w:szCs w:val="24"/>
          <w:highlight w:val="none"/>
        </w:rPr>
        <w:t xml:space="preserve">。</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7.</w:t>
      </w:r>
      <w:r>
        <w:rPr>
          <w:rFonts w:hint="eastAsia" w:cs="Arial" w:asciiTheme="minorEastAsia" w:hAnsiTheme="minorEastAsia"/>
          <w:color w:val="000000"/>
          <w:sz w:val="24"/>
          <w:szCs w:val="24"/>
          <w:highlight w:val="none"/>
        </w:rPr>
        <w:t xml:space="preserve">支持包含但不限于X光片、生化检验报告导入功能，并能与监护仪同步显示。支持用户自行录音，并将录音内置到模拟人的语音库，可以灵活模拟多种语音。</w:t>
      </w:r>
      <w:r>
        <w:rPr>
          <w:highlight w:val="none"/>
        </w:rPr>
      </w:r>
    </w:p>
    <w:p>
      <w:pPr>
        <w:pStyle w:val="835"/>
        <w:numPr>
          <w:ilvl w:val="0"/>
          <w:numId w:val="0"/>
        </w:numPr>
        <w:ind w:firstLine="480"/>
        <w:keepLines w:val="0"/>
        <w:keepNext w:val="0"/>
        <w:pageBreakBefore w:val="0"/>
        <w:spacing w:after="0" w:line="360" w:lineRule="auto"/>
        <w:widowControl w:val="off"/>
        <w:rPr>
          <w:rFonts w:hint="eastAsia" w:asciiTheme="minorEastAsia" w:hAnsiTheme="minorEastAsia"/>
          <w:sz w:val="24"/>
          <w:szCs w:val="24"/>
          <w:highlight w:val="none"/>
        </w:rPr>
      </w:pPr>
      <w:r>
        <w:rPr>
          <w:rFonts w:hint="eastAsia" w:cs="Arial" w:asciiTheme="minorEastAsia" w:hAnsiTheme="minorEastAsia"/>
          <w:color w:val="000000"/>
          <w:sz w:val="24"/>
          <w:szCs w:val="24"/>
          <w:highlight w:val="none"/>
          <w:lang w:val="en-US" w:eastAsia="zh-CN"/>
        </w:rPr>
        <w:t xml:space="preserve">8.</w:t>
      </w:r>
      <w:r>
        <w:rPr>
          <w:rFonts w:hint="eastAsia" w:cs="Arial" w:asciiTheme="minorEastAsia" w:hAnsiTheme="minorEastAsia"/>
          <w:color w:val="000000"/>
          <w:sz w:val="24"/>
          <w:szCs w:val="24"/>
          <w:highlight w:val="none"/>
        </w:rPr>
        <w:t xml:space="preserve">系统提供导师编写医学教学模拟教案模板，导师在编写完案例后，可以一键导出格式完整的病例教学文档。每一套情境病例教学内容包含但不限于：病例设计目的、病例主题的论证依据、学习目标、学习应具有的能力、参与情境练习的心理认知、患者的病史、场景所需物品、医嘱、预先提供个学员的信息报告、导师提示的病例时间表、病例流程图，且以上内容与模拟人的联系和互动内置于该套模拟人系统中。</w:t>
      </w:r>
      <w:r>
        <w:rPr>
          <w:highlight w:val="none"/>
        </w:rPr>
      </w:r>
    </w:p>
    <w:p>
      <w:pPr>
        <w:pStyle w:val="783"/>
        <w:numPr>
          <w:ilvl w:val="0"/>
          <w:numId w:val="0"/>
        </w:numPr>
        <w:contextualSpacing/>
        <w:ind w:firstLine="480"/>
        <w:keepLines w:val="0"/>
        <w:keepNext w:val="0"/>
        <w:pageBreakBefore w:val="0"/>
        <w:spacing w:after="0" w:line="360" w:lineRule="auto"/>
        <w:widowControl w:val="off"/>
        <w:rPr>
          <w:rFonts w:hint="eastAsia" w:cs="Arial" w:asciiTheme="minorEastAsia" w:hAnsiTheme="minorEastAsia" w:eastAsiaTheme="minorEastAsia"/>
          <w:color w:val="000000"/>
          <w:sz w:val="24"/>
          <w:highlight w:val="none"/>
        </w:rPr>
      </w:pPr>
      <w:r>
        <w:rPr>
          <w:rFonts w:hint="eastAsia" w:cs="Arial" w:asciiTheme="minorEastAsia" w:hAnsiTheme="minorEastAsia" w:eastAsiaTheme="minorEastAsia"/>
          <w:color w:val="000000"/>
          <w:sz w:val="24"/>
          <w:highlight w:val="none"/>
          <w:lang w:val="en-US" w:eastAsia="zh-CN"/>
        </w:rPr>
        <w:t xml:space="preserve">9.</w:t>
      </w:r>
      <w:r>
        <w:rPr>
          <w:rFonts w:hint="eastAsia" w:cs="Arial" w:asciiTheme="minorEastAsia" w:hAnsiTheme="minorEastAsia" w:eastAsiaTheme="minorEastAsia"/>
          <w:color w:val="000000"/>
          <w:sz w:val="24"/>
          <w:highlight w:val="none"/>
          <w:lang w:val="en-US"/>
        </w:rPr>
        <w:t xml:space="preserve">提供教学指导套装，提供基于循证医学联合模拟教学法的一整套完整的训练套装，提供最有效的模拟学习体验，确保快速高效的投入教学使用中。此套教学系统，包含有书面指导和配套模拟人内置互动软件，使用一键式启动方便导师和学员快速进入模拟教学情境。包含有至少10套完整的情境病例。</w:t>
      </w:r>
      <w:r>
        <w:rPr>
          <w:highlight w:val="none"/>
        </w:rPr>
      </w:r>
    </w:p>
    <w:p>
      <w:pPr>
        <w:pStyle w:val="783"/>
        <w:rPr>
          <w:rFonts w:hint="eastAsia" w:ascii="宋体" w:hAnsi="宋体" w:eastAsia="宋体" w:cs="宋体"/>
          <w:sz w:val="24"/>
          <w:highlight w:val="none"/>
        </w:rPr>
      </w:pPr>
      <w:r>
        <w:rPr>
          <w:rFonts w:hint="eastAsia" w:ascii="宋体" w:hAnsi="宋体" w:eastAsia="宋体" w:cs="宋体"/>
          <w:sz w:val="24"/>
          <w:highlight w:val="none"/>
          <w:lang w:val="en-US"/>
        </w:rPr>
      </w:r>
      <w:r>
        <w:rPr>
          <w:highlight w:val="none"/>
        </w:rPr>
      </w:r>
    </w:p>
    <w:p>
      <w:pPr>
        <w:pStyle w:val="752"/>
        <w:jc w:val="both"/>
        <w:spacing w:before="0" w:after="0" w:line="276"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商务要求</w:t>
      </w:r>
      <w:r>
        <w:rPr>
          <w:highlight w:val="none"/>
        </w:rPr>
      </w:r>
    </w:p>
    <w:tbl>
      <w:tblPr>
        <w:tblStyle w:val="761"/>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56"/>
        <w:gridCol w:w="6662"/>
      </w:tblGrid>
      <w:tr>
        <w:trPr>
          <w:jc w:val="center"/>
          <w:trHeight w:val="520"/>
        </w:trPr>
        <w:tc>
          <w:tcPr>
            <w:tcW w:w="851"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序号</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商务和服务项目</w:t>
            </w:r>
            <w:r>
              <w:rPr>
                <w:highlight w:val="none"/>
              </w:rPr>
            </w:r>
          </w:p>
        </w:tc>
        <w:tc>
          <w:tcPr>
            <w:tcW w:w="6662"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商务和服务要求</w:t>
            </w:r>
            <w:r>
              <w:rPr>
                <w:highlight w:val="none"/>
              </w:rPr>
            </w:r>
          </w:p>
        </w:tc>
      </w:tr>
      <w:tr>
        <w:trPr>
          <w:jc w:val="center"/>
          <w:trHeight w:val="501"/>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1</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买方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南通大学附属医院</w:t>
            </w:r>
            <w:r>
              <w:rPr>
                <w:highlight w:val="none"/>
              </w:rPr>
            </w:r>
          </w:p>
        </w:tc>
      </w:tr>
      <w:tr>
        <w:trPr>
          <w:jc w:val="center"/>
          <w:trHeight w:val="501"/>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2</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卖方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待定</w:t>
            </w:r>
            <w:r>
              <w:rPr>
                <w:highlight w:val="none"/>
              </w:rPr>
            </w:r>
          </w:p>
        </w:tc>
      </w:tr>
      <w:tr>
        <w:trPr>
          <w:jc w:val="center"/>
          <w:trHeight w:val="501"/>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3</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检验方</w:t>
            </w:r>
            <w:r>
              <w:rPr>
                <w:rFonts w:hint="eastAsia" w:ascii="宋体" w:hAnsi="宋体" w:eastAsia="宋体" w:cs="宋体"/>
                <w:sz w:val="24"/>
                <w:szCs w:val="24"/>
                <w:highlight w:val="none"/>
              </w:rPr>
              <w:t xml:space="preserve"> </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买方和/或买方委托的监理单位及有关管理部门</w:t>
            </w:r>
            <w:r>
              <w:rPr>
                <w:highlight w:val="none"/>
              </w:rPr>
            </w:r>
          </w:p>
        </w:tc>
      </w:tr>
      <w:tr>
        <w:trPr>
          <w:jc w:val="center"/>
          <w:trHeight w:val="1293"/>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4</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交货期/交货地点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交货期：合同签订之日起30日内</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交货地点：南通大学附属医院指定地点</w:t>
            </w:r>
            <w:r>
              <w:rPr>
                <w:highlight w:val="none"/>
              </w:rPr>
            </w:r>
          </w:p>
        </w:tc>
      </w:tr>
      <w:tr>
        <w:trPr>
          <w:jc w:val="center"/>
          <w:trHeight w:val="485"/>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5</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保修期</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1.免费全保5年； </w:t>
            </w:r>
            <w:r>
              <w:rPr>
                <w:highlight w:val="none"/>
              </w:rPr>
            </w:r>
          </w:p>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产品质保书规定了质保期，且该质保期长于合同约定的，以质保书的规定为准。在产品质保期内，卖方对所供产品的质量负全部责任，包括但不限于免费维修、免费更换和经每年维修达两次仍不能正常使用时及时退货等；产品质保期满后，卖方仍然应当依买方要求履行维修、配件供应等质保义务。</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3.计算时间以签署验收合格文件之日为准。鼓励供应商延长质保期，评标时将考虑此因素。</w:t>
            </w:r>
            <w:r>
              <w:rPr>
                <w:highlight w:val="none"/>
              </w:rPr>
            </w:r>
          </w:p>
        </w:tc>
      </w:tr>
      <w:tr>
        <w:trPr>
          <w:jc w:val="center"/>
          <w:trHeight w:val="416"/>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6</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售后服务承诺</w:t>
            </w:r>
            <w:r>
              <w:rPr>
                <w:highlight w:val="none"/>
              </w:rPr>
            </w:r>
          </w:p>
        </w:tc>
        <w:tc>
          <w:tcPr>
            <w:tcW w:w="6662" w:type="dxa"/>
            <w:vAlign w:val="center"/>
            <w:textDirection w:val="lrTb"/>
            <w:noWrap w:val="false"/>
          </w:tcPr>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1.保修期内卖方保证货物完好率不低于95%，如因货物质量问题导致货物部分或全部功能停用率超过5%（一年按365天计算，每年18天），则每超过一天，质保期延长两周。</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2.质保范围：合同项目下所有货物，包括配套附件、软件等所出现的任何故障及性能偏差。</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3.质保期外如需更换配件,卖方保证先维修后收费，所更换的配件保修不少于一年，软件升级更新免费。</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position w:val="-10"/>
                <w:sz w:val="24"/>
                <w:szCs w:val="24"/>
                <w:highlight w:val="none"/>
              </w:rPr>
              <w:t xml:space="preserve">4.卖方保证对所供设备进行不少于每季度一次的免费保养维护及性能检测，并出具相关报告。</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5.卖方保证有充足的备件确保故障设备在接到买方报修电话48小时内现场修复。需返厂维修的设备，卖方承担拆卸、包装、运输及再安装等费用。</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6.卖方保证所有的保养维护工作填写相关技术档案并由双方签字确认。</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7.卖方应免费提供维修手册等维护维修必需的材料和信息并保证及时提供维修配件。</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8.上述条款需经设备厂商或厂商指定的售后服务机构另行书面确认或直接加盖公章确认并在最终验收前提交给买方。如涉及其他厂商产品则须得到该厂商的售后服务保证。</w:t>
            </w:r>
            <w:r>
              <w:rPr>
                <w:highlight w:val="none"/>
              </w:rPr>
            </w:r>
          </w:p>
          <w:p>
            <w:pPr>
              <w:spacing w:line="360" w:lineRule="auto"/>
              <w:rPr>
                <w:rFonts w:hint="eastAsia" w:ascii="宋体" w:hAnsi="宋体" w:eastAsia="宋体" w:cs="宋体"/>
                <w:b/>
                <w:bCs/>
                <w:i/>
                <w:sz w:val="24"/>
                <w:szCs w:val="24"/>
                <w:highlight w:val="none"/>
                <w:u w:val="single"/>
              </w:rPr>
            </w:pPr>
            <w:r>
              <w:rPr>
                <w:rFonts w:hint="eastAsia" w:ascii="宋体" w:hAnsi="宋体" w:eastAsia="宋体" w:cs="宋体"/>
                <w:bCs/>
                <w:sz w:val="24"/>
                <w:szCs w:val="24"/>
                <w:highlight w:val="none"/>
              </w:rPr>
              <w:t xml:space="preserve">9.售后服务机构：</w:t>
            </w:r>
            <w:r>
              <w:rPr>
                <w:rFonts w:hint="eastAsia" w:ascii="宋体" w:hAnsi="宋体" w:eastAsia="宋体" w:cs="宋体"/>
                <w:bCs/>
                <w:iCs/>
                <w:sz w:val="24"/>
                <w:szCs w:val="24"/>
                <w:highlight w:val="none"/>
              </w:rPr>
              <w:t xml:space="preserve">原厂保修，卖方应在验收时提供符合买方要求的原厂质保证明材料，提供承诺函。</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7</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培训</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卖方</w:t>
            </w:r>
            <w:r>
              <w:rPr>
                <w:rFonts w:hint="eastAsia" w:ascii="宋体" w:hAnsi="宋体" w:eastAsia="宋体" w:cs="宋体"/>
                <w:sz w:val="24"/>
                <w:szCs w:val="24"/>
                <w:highlight w:val="none"/>
                <w:lang w:val="zh-CN"/>
              </w:rPr>
              <w:t xml:space="preserve">负责对买方</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操作、维修人员在项目所在地进行业务培训。</w:t>
            </w:r>
            <w:r>
              <w:rPr>
                <w:rFonts w:hint="eastAsia" w:ascii="宋体" w:hAnsi="宋体" w:eastAsia="宋体" w:cs="宋体"/>
                <w:sz w:val="24"/>
                <w:szCs w:val="24"/>
                <w:highlight w:val="none"/>
              </w:rPr>
              <w:t xml:space="preserve">培训应</w:t>
            </w:r>
            <w:r>
              <w:rPr>
                <w:rFonts w:hint="eastAsia" w:ascii="宋体" w:hAnsi="宋体" w:eastAsia="宋体" w:cs="宋体"/>
                <w:sz w:val="24"/>
                <w:szCs w:val="24"/>
                <w:highlight w:val="none"/>
                <w:lang w:val="zh-CN"/>
              </w:rPr>
              <w:t xml:space="preserve">达到能熟练操作，</w:t>
            </w:r>
            <w:r>
              <w:rPr>
                <w:rFonts w:hint="eastAsia" w:ascii="宋体" w:hAnsi="宋体" w:eastAsia="宋体" w:cs="宋体"/>
                <w:sz w:val="24"/>
                <w:szCs w:val="24"/>
                <w:highlight w:val="none"/>
              </w:rPr>
              <w:t xml:space="preserve">并</w:t>
            </w:r>
            <w:r>
              <w:rPr>
                <w:rFonts w:hint="eastAsia" w:ascii="宋体" w:hAnsi="宋体" w:eastAsia="宋体" w:cs="宋体"/>
                <w:sz w:val="24"/>
                <w:szCs w:val="24"/>
                <w:highlight w:val="none"/>
                <w:lang w:val="zh-CN"/>
              </w:rPr>
              <w:t xml:space="preserve">能排除常见故障的标准；</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8</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验收方式及标准</w:t>
            </w:r>
            <w:r>
              <w:rPr>
                <w:highlight w:val="none"/>
              </w:rPr>
            </w:r>
          </w:p>
        </w:tc>
        <w:tc>
          <w:tcPr>
            <w:tcW w:w="6662"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①验收方式：</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2.卖方负责货物的安装、调试、试用过程中的现场安全管理，若安装、调试及试用过程中发生安全事故，卖方应承担全部责任。</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买卖双方应在安装、调试完成后进行试用，试用不应少于一个月，具体程序由卖方提供并经买卖双方协商一致后确认。在试使用期间，如果未能达到合同约定的要求或者质量标准，或者试用期内因设备本身原因出现故障达两次，卖方则必须无条件换货或退货，由此引起的一切损失由卖方承担。</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4.货物试用结束双方应及时依据本章关于技术标准、质量要求及质保期限的规定对货物进行最终验收，验收合格后双方共同签署验收文件；验收时卖方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5.对货物的最终验收在买方所在地进行，该验收只表明对货物外观质量的初步认可，并不代表买方对内在质量的最终确认，即验收合格不排除买方在质保期内外提出质量异议。质量异议期限为180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验收标准：</w:t>
            </w:r>
            <w:r>
              <w:rPr>
                <w:highlight w:val="none"/>
              </w:rPr>
            </w:r>
          </w:p>
          <w:p>
            <w:pPr>
              <w:spacing w:line="360" w:lineRule="auto"/>
              <w:tabs>
                <w:tab w:val="left" w:pos="318"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②货物验收标准：</w:t>
            </w:r>
            <w:r>
              <w:rPr>
                <w:highlight w:val="none"/>
              </w:rPr>
            </w:r>
          </w:p>
          <w:p>
            <w:pPr>
              <w:spacing w:line="360" w:lineRule="auto"/>
              <w:tabs>
                <w:tab w:val="left" w:pos="318" w:leader="none"/>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rPr>
                <w:highlight w:val="none"/>
              </w:rPr>
            </w:r>
          </w:p>
          <w:p>
            <w:pPr>
              <w:spacing w:line="360" w:lineRule="auto"/>
              <w:tabs>
                <w:tab w:val="left" w:pos="318" w:leader="none"/>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（2）质量要求应达到前述规定的技术标准，且应使买方在质保期及质保期过后的设计寿命周期内能实现正常使用的目的。</w:t>
            </w:r>
            <w:r>
              <w:rPr>
                <w:highlight w:val="none"/>
              </w:rPr>
            </w:r>
          </w:p>
          <w:p>
            <w:pPr>
              <w:spacing w:line="360" w:lineRule="auto"/>
              <w:tabs>
                <w:tab w:val="left" w:pos="318" w:leader="none"/>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质量保证承诺：当卖方在技术、工艺、原材料的材质、产地和供应商等发生重大变化时，卖方须提交关于调整原因、市场影响和质量验证等方面的书面说明材料，直至买方书面确认此变化对产品质量确无影响为止，由此造成的后果与损失，由卖方承担。</w:t>
            </w:r>
            <w:r>
              <w:rPr>
                <w:highlight w:val="none"/>
              </w:rPr>
            </w:r>
          </w:p>
          <w:p>
            <w:pPr>
              <w:spacing w:line="360" w:lineRule="auto"/>
              <w:tabs>
                <w:tab w:val="left" w:pos="318"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③货物性能考核指标：</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不得低于上述货物验收标准中的指标。具体指标签订合同时根据采购文件和投标文件确定。</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9</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交货地点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南通大学附属医院（医院指定的安装地点）</w:t>
            </w:r>
            <w:r>
              <w:rPr>
                <w:highlight w:val="none"/>
              </w:rPr>
            </w:r>
          </w:p>
        </w:tc>
      </w:tr>
      <w:tr>
        <w:trPr>
          <w:jc w:val="center"/>
          <w:trHeight w:val="530"/>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10</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设备安装调试</w:t>
            </w:r>
            <w:r>
              <w:rPr>
                <w:highlight w:val="none"/>
              </w:rPr>
            </w:r>
          </w:p>
        </w:tc>
        <w:tc>
          <w:tcPr>
            <w:tcW w:w="6662"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rPr>
                <w:highlight w:val="none"/>
              </w:rPr>
            </w:r>
          </w:p>
        </w:tc>
      </w:tr>
      <w:tr>
        <w:trPr>
          <w:jc w:val="center"/>
          <w:trHeight w:val="530"/>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11</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其他</w:t>
            </w:r>
            <w:r>
              <w:rPr>
                <w:highlight w:val="none"/>
              </w:rPr>
            </w:r>
          </w:p>
        </w:tc>
        <w:tc>
          <w:tcPr>
            <w:tcW w:w="6662" w:type="dxa"/>
            <w:vAlign w:val="center"/>
            <w:textDirection w:val="lrTb"/>
            <w:noWrap w:val="false"/>
          </w:tcPr>
          <w:p>
            <w:pPr>
              <w:spacing w:after="12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生产期限不超过设备到货日期前一年。</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12</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付款方式</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货到现场安装调试验收合格无问题，卖方凭合法有效且与合同配置清单相符的全额完税发票及买方设备验收单支付90%；余款在验收合格满5年后且确认没有质量/诚信等问题的情况下支付（不支付利息）。</w:t>
            </w:r>
            <w:r>
              <w:rPr>
                <w:highlight w:val="none"/>
              </w:rPr>
            </w:r>
          </w:p>
        </w:tc>
      </w:tr>
    </w:tbl>
    <w:p>
      <w:pPr>
        <w:ind w:firstLine="48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pStyle w:val="752"/>
        <w:jc w:val="both"/>
        <w:spacing w:before="0" w:after="0" w:line="276"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四、其他说明</w:t>
      </w:r>
      <w:r>
        <w:rPr>
          <w:highlight w:val="none"/>
        </w:rPr>
      </w:r>
    </w:p>
    <w:p>
      <w:pPr>
        <w:ind w:firstLine="480"/>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4.1上述中加注“★”符号的关键条款指标为实质性要求，不允许负偏离，否则投标无效；加注“▲”符号的重要条款指标；其他为一般条款指标。</w:t>
      </w:r>
      <w:r>
        <w:rPr>
          <w:highlight w:val="none"/>
        </w:rPr>
      </w:r>
    </w:p>
    <w:p>
      <w:pPr>
        <w:ind w:firstLine="480"/>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4.2加注“★”符号的关键条款指标、加注“▲”符号的重要条款指标和一般条款指标要求提供相关材料的，均须提供证明材料，未提供的评委有权认定为负偏离。</w:t>
      </w:r>
      <w:r>
        <w:rPr>
          <w:highlight w:val="none"/>
        </w:rPr>
      </w:r>
    </w:p>
    <w:p>
      <w:pPr>
        <w:ind w:firstLine="48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4.3商务要求条款均为实质性要求不允许负偏离，否则投标无效。</w:t>
      </w:r>
      <w:r>
        <w:rPr>
          <w:highlight w:val="none"/>
        </w:rPr>
        <w:br w:type="page" w:clear="all"/>
      </w:r>
      <w:r>
        <w:rPr>
          <w:highlight w:val="none"/>
        </w:rPr>
      </w:r>
    </w:p>
    <w:p>
      <w:pPr>
        <w:pStyle w:val="751"/>
        <w:jc w:val="center"/>
        <w:rPr>
          <w:highlight w:val="none"/>
        </w:rPr>
      </w:pPr>
      <w:r>
        <w:rPr>
          <w:rFonts w:hint="eastAsia" w:ascii="微软雅黑" w:hAnsi="微软雅黑" w:eastAsia="微软雅黑" w:cs="微软雅黑"/>
          <w:highlight w:val="none"/>
        </w:rPr>
        <w:t xml:space="preserve">第五章</w:t>
      </w:r>
      <w:r>
        <w:rPr>
          <w:highlight w:val="none"/>
        </w:rPr>
        <w:t xml:space="preserve">  </w:t>
      </w:r>
      <w:r>
        <w:rPr>
          <w:rFonts w:hint="eastAsia" w:ascii="微软雅黑" w:hAnsi="微软雅黑" w:eastAsia="微软雅黑" w:cs="微软雅黑"/>
          <w:highlight w:val="none"/>
        </w:rPr>
        <w:t xml:space="preserve">评标方法与评标标准</w:t>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eastAsia="Times New Roman"/>
          <w:sz w:val="28"/>
          <w:highlight w:val="none"/>
        </w:rPr>
        <w:t xml:space="preserve"> </w:t>
      </w:r>
      <w:r>
        <w:rPr>
          <w:highlight w:val="none"/>
        </w:rPr>
      </w:r>
    </w:p>
    <w:p>
      <w:pPr>
        <w:ind w:firstLine="512"/>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highlight w:val="none"/>
        </w:rPr>
      </w:r>
    </w:p>
    <w:p>
      <w:pPr>
        <w:ind w:firstLine="482"/>
        <w:spacing w:line="360" w:lineRule="auto"/>
        <w:rPr>
          <w:rFonts w:hint="eastAsia" w:ascii="宋体" w:hAnsi="宋体"/>
          <w:b/>
          <w:color w:val="000000"/>
          <w:sz w:val="24"/>
          <w:highlight w:val="none"/>
        </w:rPr>
        <w:outlineLvl w:val="1"/>
      </w:pPr>
      <w:r>
        <w:rPr>
          <w:highlight w:val="none"/>
        </w:rPr>
      </w:r>
      <w:bookmarkStart w:id="2" w:name="_Toc28210"/>
      <w:r>
        <w:rPr>
          <w:rFonts w:hint="eastAsia" w:ascii="宋体" w:hAnsi="宋体"/>
          <w:b/>
          <w:color w:val="000000"/>
          <w:sz w:val="24"/>
          <w:highlight w:val="none"/>
        </w:rPr>
        <w:t xml:space="preserve">政府采购政策功能落实</w:t>
      </w:r>
      <w:bookmarkEnd w:id="2"/>
      <w:r>
        <w:rPr>
          <w:highlight w:val="none"/>
        </w:rPr>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1、小微型企业价格扣除</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（1）本项目对小型和微型企业产品给予</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的扣除价格，用扣除后的价格参与评审。</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（2）供应商需按照采购文件的要求提供相应的《小微企业声明函》。</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（3）企业标准请参照《关于印发中小企业划型标准规定的通知》（工信部联企业[2011]300号）文件规定自行填写。</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（1）本项目对残疾人福利性单位视同小型、微型企业，给予</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（1）本项目对监狱和戒毒企业（简称监狱企业）视同小型、微型企业，给予</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highlight w:val="none"/>
        </w:rPr>
      </w:r>
    </w:p>
    <w:p>
      <w:pPr>
        <w:ind w:firstLine="480"/>
        <w:spacing w:before="120" w:line="360" w:lineRule="auto"/>
        <w:rPr>
          <w:rFonts w:hint="eastAsia" w:ascii="华文新魏" w:hAnsi="宋体" w:eastAsia="华文新魏"/>
          <w:color w:val="000000"/>
          <w:sz w:val="24"/>
          <w:highlight w:val="none"/>
        </w:rPr>
      </w:pPr>
      <w:r>
        <w:rPr>
          <w:rFonts w:hint="eastAsia" w:ascii="宋体" w:hAnsi="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highlight w:val="none"/>
        </w:rPr>
      </w:r>
    </w:p>
    <w:p>
      <w:pPr>
        <w:pStyle w:val="762"/>
        <w:rPr>
          <w:highlight w:val="none"/>
        </w:rPr>
      </w:pPr>
      <w:r>
        <w:rPr>
          <w:highlight w:val="none"/>
        </w:rPr>
      </w:r>
      <w:r>
        <w:rPr>
          <w:highlight w:val="none"/>
        </w:rPr>
      </w:r>
    </w:p>
    <w:p>
      <w:pPr>
        <w:ind w:firstLine="482"/>
        <w:spacing w:line="360" w:lineRule="auto"/>
        <w:rPr>
          <w:highlight w:val="none"/>
        </w:rPr>
        <w:outlineLvl w:val="1"/>
      </w:pPr>
      <w:r>
        <w:rPr>
          <w:highlight w:val="none"/>
        </w:rPr>
      </w:r>
      <w:bookmarkStart w:id="3" w:name="_Toc21053"/>
      <w:r>
        <w:rPr>
          <w:highlight w:val="none"/>
        </w:rPr>
      </w:r>
      <w:bookmarkStart w:id="4" w:name="_Toc7136"/>
      <w:r>
        <w:rPr>
          <w:highlight w:val="none"/>
        </w:rPr>
      </w:r>
      <w:bookmarkStart w:id="5" w:name="_Toc194500890"/>
      <w:r>
        <w:rPr>
          <w:highlight w:val="none"/>
        </w:rPr>
      </w:r>
      <w:bookmarkStart w:id="6" w:name="_Toc24524"/>
      <w:r>
        <w:rPr>
          <w:highlight w:val="none"/>
        </w:rPr>
      </w:r>
      <w:bookmarkStart w:id="7" w:name="_Toc21141"/>
      <w:r>
        <w:rPr>
          <w:rFonts w:ascii="宋体" w:hAnsi="宋体" w:cs="宋体"/>
          <w:b/>
          <w:color w:val="000000"/>
          <w:sz w:val="24"/>
          <w:highlight w:val="none"/>
        </w:rPr>
        <w:t xml:space="preserve">符合性审查内容</w:t>
      </w:r>
      <w:bookmarkEnd w:id="3"/>
      <w:r>
        <w:rPr>
          <w:highlight w:val="none"/>
        </w:rPr>
      </w:r>
      <w:bookmarkEnd w:id="4"/>
      <w:r>
        <w:rPr>
          <w:highlight w:val="none"/>
        </w:rPr>
      </w:r>
      <w:bookmarkEnd w:id="5"/>
      <w:r>
        <w:rPr>
          <w:highlight w:val="none"/>
        </w:rPr>
      </w:r>
      <w:bookmarkEnd w:id="6"/>
      <w:r>
        <w:rPr>
          <w:highlight w:val="none"/>
        </w:rPr>
      </w:r>
      <w:bookmarkEnd w:id="7"/>
      <w:r>
        <w:rPr>
          <w:highlight w:val="none"/>
        </w:rPr>
      </w:r>
      <w:r>
        <w:rPr>
          <w:highlight w:val="none"/>
        </w:rP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（在综合评审之前，评标委员会应当对通过资格审查的投标人的投标文件进行符合性审查；投标文件存在下列情况之一的，属于重大偏差，投标文件无效）</w:t>
      </w:r>
      <w:r>
        <w:rPr>
          <w:highlight w:val="none"/>
        </w:rPr>
      </w:r>
    </w:p>
    <w:p>
      <w:pPr>
        <w:numPr>
          <w:ilvl w:val="0"/>
          <w:numId w:val="2"/>
        </w:numPr>
        <w:ind w:firstLine="482"/>
        <w:rPr>
          <w:rFonts w:hint="eastAsia" w:ascii="宋体" w:hAnsi="宋体"/>
          <w:color w:val="000000"/>
          <w:sz w:val="24"/>
          <w:highlight w:val="none"/>
        </w:rPr>
      </w:pPr>
      <w:r>
        <w:rPr>
          <w:rFonts w:hint="eastAsia" w:ascii="宋体" w:hAnsi="宋体"/>
          <w:b/>
          <w:bCs/>
          <w:sz w:val="24"/>
          <w:highlight w:val="none"/>
        </w:rPr>
        <w:t xml:space="preserve">报价要求：</w:t>
      </w:r>
      <w:r>
        <w:rPr>
          <w:rFonts w:hint="eastAsia" w:ascii="宋体" w:hAnsi="宋体" w:cs="宋体"/>
          <w:iCs/>
          <w:sz w:val="24"/>
          <w:highlight w:val="none"/>
        </w:rPr>
        <w:t xml:space="preserve">具体要求详见报价表要求。</w:t>
      </w:r>
      <w:r>
        <w:rPr>
          <w:highlight w:val="none"/>
        </w:rPr>
      </w:r>
    </w:p>
    <w:p>
      <w:pPr>
        <w:numPr>
          <w:ilvl w:val="0"/>
          <w:numId w:val="2"/>
        </w:numPr>
        <w:ind w:firstLine="482"/>
        <w:rPr>
          <w:rFonts w:hint="eastAsia" w:ascii="宋体" w:hAnsi="宋体"/>
          <w:b/>
          <w:bCs/>
          <w:color w:val="000000"/>
          <w:sz w:val="24"/>
          <w:highlight w:val="none"/>
        </w:rPr>
      </w:pPr>
      <w:r>
        <w:rPr>
          <w:rFonts w:hint="eastAsia" w:ascii="宋体" w:hAnsi="宋体"/>
          <w:b/>
          <w:bCs/>
          <w:color w:val="000000"/>
          <w:sz w:val="24"/>
          <w:highlight w:val="none"/>
        </w:rPr>
        <w:t xml:space="preserve">商务要求：</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《第六章投标文件格式》中“投标文件构成”有实质性缺漏的；</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响应文件签字、盖章符合文件要求；</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2.3出现备选投标方案的；</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2.4出现采购人不能接受的附加条件的；</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投标文件出现法律、法规和招标文件规定的其他无效情形；</w:t>
      </w:r>
      <w:r>
        <w:rPr>
          <w:highlight w:val="none"/>
        </w:rPr>
      </w:r>
    </w:p>
    <w:p>
      <w:pPr>
        <w:numPr>
          <w:ilvl w:val="0"/>
          <w:numId w:val="2"/>
        </w:numPr>
        <w:ind w:firstLine="482"/>
        <w:rPr>
          <w:rFonts w:hint="eastAsia" w:ascii="宋体" w:hAnsi="宋体"/>
          <w:b/>
          <w:bCs/>
          <w:color w:val="000000"/>
          <w:sz w:val="24"/>
          <w:highlight w:val="none"/>
        </w:rPr>
      </w:pPr>
      <w:r>
        <w:rPr>
          <w:rFonts w:hint="eastAsia" w:ascii="宋体" w:hAnsi="宋体"/>
          <w:b/>
          <w:bCs/>
          <w:color w:val="000000"/>
          <w:sz w:val="24"/>
          <w:highlight w:val="none"/>
        </w:rPr>
        <w:t xml:space="preserve">技术要求：</w:t>
      </w:r>
      <w:r>
        <w:rPr>
          <w:highlight w:val="none"/>
        </w:rPr>
      </w:r>
    </w:p>
    <w:p>
      <w:pPr>
        <w:ind w:firstLine="480"/>
        <w:spacing w:before="120"/>
        <w:rPr>
          <w:rFonts w:hint="eastAsia" w:ascii="宋体" w:hAnsi="宋体"/>
          <w:color w:val="000000"/>
          <w:sz w:val="24"/>
          <w:highlight w:val="none"/>
        </w:rPr>
      </w:pPr>
      <w:r>
        <w:rPr>
          <w:rFonts w:ascii="宋体" w:hAnsi="宋体"/>
          <w:color w:val="000000"/>
          <w:sz w:val="24"/>
          <w:highlight w:val="none"/>
        </w:rPr>
        <w:t xml:space="preserve">3.1</w:t>
      </w:r>
      <w:r>
        <w:rPr>
          <w:rFonts w:hint="eastAsia" w:ascii="宋体" w:hAnsi="宋体"/>
          <w:color w:val="000000"/>
          <w:sz w:val="24"/>
          <w:highlight w:val="none"/>
        </w:rPr>
        <w:t xml:space="preserve">《技术、商务条款偏离表》中</w:t>
      </w:r>
      <w:r>
        <w:rPr>
          <w:rFonts w:hint="eastAsia" w:ascii="宋体" w:hAnsi="宋体"/>
          <w:sz w:val="24"/>
          <w:highlight w:val="none"/>
        </w:rPr>
        <w:t xml:space="preserve">★条款</w:t>
      </w:r>
      <w:r>
        <w:rPr>
          <w:rFonts w:hint="eastAsia" w:ascii="宋体" w:hAnsi="宋体"/>
          <w:color w:val="000000"/>
          <w:sz w:val="24"/>
          <w:highlight w:val="none"/>
        </w:rPr>
        <w:t xml:space="preserve">出现任何负偏离的。</w:t>
      </w:r>
      <w:r>
        <w:rPr>
          <w:highlight w:val="none"/>
        </w:rPr>
      </w:r>
    </w:p>
    <w:p>
      <w:pPr>
        <w:pStyle w:val="762"/>
        <w:rPr>
          <w:highlight w:val="none"/>
        </w:rPr>
      </w:pPr>
      <w:r>
        <w:rPr>
          <w:highlight w:val="none"/>
        </w:rPr>
      </w:r>
      <w:r>
        <w:rPr>
          <w:highlight w:val="none"/>
        </w:rPr>
      </w:r>
    </w:p>
    <w:p>
      <w:pPr>
        <w:ind w:firstLine="512"/>
        <w:spacing w:before="120" w:after="12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评标方法与评标标准</w:t>
      </w:r>
      <w:r>
        <w:rPr>
          <w:highlight w:val="none"/>
        </w:rPr>
      </w:r>
    </w:p>
    <w:tbl>
      <w:tblPr>
        <w:tblStyle w:val="78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6"/>
        <w:gridCol w:w="6819"/>
      </w:tblGrid>
      <w:tr>
        <w:trPr>
          <w:jc w:val="cente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评审标准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价格</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采用低价优先法计算，即满足招标文件要求且投标价格最低的投标报价为评标基准价，其价格分为满分30分。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其他投标人的价格分统一按照下列公式计算：</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投标报价得分=(评标基准价/投标报价)×30（小数点保留两位）。</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技术要求响应</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评委根据投标文件中《技术要求响应及偏离表》，结合投标文件提供的佐证材料等进行评审：</w:t>
            </w:r>
            <w:r>
              <w:rPr>
                <w:highlight w:val="none"/>
              </w:rPr>
            </w:r>
          </w:p>
          <w:p>
            <w:pPr>
              <w:pStyle w:val="752"/>
              <w:spacing w:before="0" w:after="0" w:line="276"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加注“▲”号的重要指标有一项正偏离或响应加</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分，一般指标每有一项正偏离或响应加0.5分，完全响应招标文件《第四章：采购需求》的二、技术要求，满分35.5分。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注：投标人需按照本采购文件第四章的技术要求，在《技术要求响应及偏离表》中如实详细填列所投产品的参数，并按要求提供佐证材料，否则评标委员会有权做负偏离处理。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业绩</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提供自2022年1月1日以来（以合同签订时间为准）完成同品牌同类型产品业绩，满分9分：每提供一份合同（复印件）得3分。</w:t>
            </w:r>
            <w:r>
              <w:rPr>
                <w:rFonts w:hint="eastAsia" w:ascii="宋体" w:hAnsi="宋体" w:cs="宋体"/>
                <w:color w:val="000000" w:themeColor="text1"/>
                <w:sz w:val="24"/>
                <w:highlight w:val="none"/>
                <w14:textFill>
                  <w14:solidFill>
                    <w14:schemeClr w14:val="tx1"/>
                  </w14:solidFill>
                </w14:textFill>
              </w:rPr>
              <w:t xml:space="preserve">注：合同须签章完整、签署日期清晰，同时须反映设备品牌、型号等内容，否则评审时不予认可。</w:t>
            </w:r>
            <w:r>
              <w:rPr>
                <w:rFonts w:hint="eastAsia" w:ascii="宋体" w:hAnsi="宋体" w:eastAsia="宋体" w:cs="宋体"/>
                <w:sz w:val="24"/>
                <w:szCs w:val="24"/>
                <w:highlight w:val="none"/>
              </w:rPr>
              <w:t xml:space="preserve">同一采购方不重复计分。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项目实施方案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根据各投标人提供的项目实施方案内容（包括但不限于</w:t>
            </w:r>
            <w:r>
              <w:rPr>
                <w:rFonts w:hint="eastAsia" w:ascii="宋体" w:hAnsi="宋体" w:eastAsia="宋体" w:cs="宋体"/>
                <w:b/>
                <w:bCs/>
                <w:sz w:val="24"/>
                <w:szCs w:val="24"/>
                <w:highlight w:val="none"/>
              </w:rPr>
              <w:t xml:space="preserve">a项目整体管理方案、b人员组织管理及架构设置、c投标人与上游供应链及终端用户沟通渠道保障、d项目整体实施进度计划及推进方案、e项目整体安全保障措施</w:t>
            </w:r>
            <w:r>
              <w:rPr>
                <w:rFonts w:hint="eastAsia" w:ascii="宋体" w:hAnsi="宋体" w:eastAsia="宋体" w:cs="宋体"/>
                <w:sz w:val="24"/>
                <w:szCs w:val="24"/>
                <w:highlight w:val="none"/>
              </w:rPr>
              <w:t xml:space="preserve">等）的完备程度及针对性、合理性进行评审：</w:t>
            </w:r>
            <w:r>
              <w:rPr>
                <w:highlight w:val="none"/>
              </w:rPr>
            </w:r>
          </w:p>
          <w:p>
            <w:pPr>
              <w:jc w:val="both"/>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完全涵盖以上5项内容最多得5分；包含任意1项最多得1分。 </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注：评标委员会根据各供应商的对应响应方案按照以下量化评审因素指标对各项要求进行满足性判断：</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1、方案内容完整清晰、安排合理、完全针对采购人需求优化设计的，得1分；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2、方案内容不够完整清晰、安排合理性不足、未针对采购人需求设计的，得0.5分；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3、未提供或者经评标委员会认定完全不具备可行性的不得分。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运输安装调试方案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根据各投标人针对本项目拟定的运输安装调试方案（包括但不限于</w:t>
            </w:r>
            <w:r>
              <w:rPr>
                <w:rFonts w:hint="eastAsia" w:ascii="宋体" w:hAnsi="宋体" w:eastAsia="宋体" w:cs="宋体"/>
                <w:b/>
                <w:bCs/>
                <w:sz w:val="24"/>
                <w:szCs w:val="24"/>
                <w:highlight w:val="none"/>
              </w:rPr>
              <w:t xml:space="preserve">a设备出厂质检内容及包装、b设备出库、运输及货物保障、c设备安装及初始化调试、d设备验收检查流程、e运输安全保障方案、f技术人员配置及各流程交接方案</w:t>
            </w:r>
            <w:r>
              <w:rPr>
                <w:rFonts w:hint="eastAsia" w:ascii="宋体" w:hAnsi="宋体" w:eastAsia="宋体" w:cs="宋体"/>
                <w:sz w:val="24"/>
                <w:szCs w:val="24"/>
                <w:highlight w:val="none"/>
              </w:rPr>
              <w:t xml:space="preserve">等）进行评审：</w:t>
            </w:r>
            <w:r>
              <w:rPr>
                <w:highlight w:val="none"/>
              </w:rPr>
            </w:r>
          </w:p>
          <w:p>
            <w:pPr>
              <w:jc w:val="both"/>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完全涵盖以上6项内容最多得6分；包含任意1项最多得1分。 </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注：评标委员会根据各供应商的对应响应方案按照以下量化评审因素指标对各项要求进行满足性判断：</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1、安装调试方案完整详尽，专业性、可行性强，考虑周全，思路特别清晰，符合项目需求，得1分；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2、对项目执行有一定认识，方案较为完整，思路基本清晰，基本符合项目需求，该项得0.5分；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3、未提供或者经评标委员会认定完全不具备可行性的不得分。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培训方案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根据各投标人针对本项目拟定的培训方案（包括但不限于</w:t>
            </w:r>
            <w:r>
              <w:rPr>
                <w:rFonts w:hint="eastAsia" w:ascii="宋体" w:hAnsi="宋体" w:eastAsia="宋体" w:cs="宋体"/>
                <w:b/>
                <w:bCs/>
                <w:sz w:val="24"/>
                <w:szCs w:val="24"/>
                <w:highlight w:val="none"/>
              </w:rPr>
              <w:t xml:space="preserve">a日常操作培训、b应急使用培训、c日常维护保养培训、d更新功能使用培训、e培训计划及师资安排</w:t>
            </w:r>
            <w:r>
              <w:rPr>
                <w:rFonts w:hint="eastAsia" w:ascii="宋体" w:hAnsi="宋体" w:eastAsia="宋体" w:cs="宋体"/>
                <w:sz w:val="24"/>
                <w:szCs w:val="24"/>
                <w:highlight w:val="none"/>
              </w:rPr>
              <w:t xml:space="preserve">等）进行评审：</w:t>
            </w:r>
            <w:r>
              <w:rPr>
                <w:highlight w:val="none"/>
              </w:rPr>
            </w:r>
          </w:p>
          <w:p>
            <w:pPr>
              <w:jc w:val="both"/>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完全涵盖以上5项内容最多得5分；包含任意1项最多得1分。 </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注：评标委员会根据各供应商的对应响应方案按照以下量化评审因素指标对各项要求进行满足性判断：</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1、培训方案完整详尽，专业性、可行性强，考虑周全，思路特别清晰，符合项目需求，得1分；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2、对项目执行有一定认识，方案较为完整，思路基本清晰，基本符合项目需求，该项得0.5分；</w:t>
            </w:r>
            <w:r>
              <w:rPr>
                <w:highlight w:val="none"/>
              </w:rPr>
            </w:r>
          </w:p>
          <w:p>
            <w:pPr>
              <w:jc w:val="both"/>
              <w:spacing w:line="6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3、未提供或者经评标委员会认定完全不具备可行性的不得分。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售后服务方案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根据各投标人针对本项目拟定的售后服务方案（包括但不限于</w:t>
            </w:r>
            <w:r>
              <w:rPr>
                <w:rFonts w:hint="eastAsia" w:ascii="宋体" w:hAnsi="宋体" w:eastAsia="宋体" w:cs="宋体"/>
                <w:b/>
                <w:bCs/>
                <w:sz w:val="24"/>
                <w:szCs w:val="24"/>
                <w:highlight w:val="none"/>
              </w:rPr>
              <w:t xml:space="preserve">a维修响应时间及方式、b应急维修应对措施、c日常维护、巡检、保养方案、d零配件和维修备品备件的供应保障措施、e技术服务人员及场地配置情况、f质保期内的后续技术支持和软件升级或功能改造</w:t>
            </w:r>
            <w:r>
              <w:rPr>
                <w:rFonts w:hint="eastAsia" w:ascii="宋体" w:hAnsi="宋体" w:eastAsia="宋体" w:cs="宋体"/>
                <w:sz w:val="24"/>
                <w:szCs w:val="24"/>
                <w:highlight w:val="none"/>
              </w:rPr>
              <w:t xml:space="preserve">等）进行评审：</w:t>
            </w:r>
            <w:r>
              <w:rPr>
                <w:highlight w:val="none"/>
              </w:rPr>
            </w:r>
          </w:p>
          <w:p>
            <w:pPr>
              <w:jc w:val="both"/>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完全涵盖以上6项内容最多得6分；包含任意1项最多得1分。 </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注：评标委员会根据各供应商的对应响应方案按照以下量化评审因素指标对各项要求进行满足性判断：</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1、售后方案完整详尽，专业性、可行性强，考虑周全，思路特别清晰，符合项目需求，得1分；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2、对项目执行有一定认识，方案较为完整，思路基本清晰，基本符合项目需求，该项得0.5分；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3、未提供或者经评标委员会认定完全不具备可行性的不得分。</w:t>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投标设备整体配置情况比较</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9"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投标设备整体配置选型情况综合比较，针对本项目的投标产品配置选型先进合理，设计、材质明显有利于使用人员操作的，得</w:t>
            </w:r>
            <w:r>
              <w:rPr>
                <w:rFonts w:ascii="宋体" w:hAnsi="宋体" w:eastAsia="宋体" w:cs="宋体"/>
                <w:sz w:val="24"/>
                <w:szCs w:val="24"/>
                <w:highlight w:val="none"/>
              </w:rPr>
              <w:t xml:space="preserve">3.5</w:t>
            </w:r>
            <w:r>
              <w:rPr>
                <w:rFonts w:hint="eastAsia" w:ascii="宋体" w:hAnsi="宋体" w:eastAsia="宋体" w:cs="宋体"/>
                <w:sz w:val="24"/>
                <w:szCs w:val="24"/>
                <w:highlight w:val="none"/>
              </w:rPr>
              <w:t xml:space="preserve">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针对本项目的投标产品配置选型一般，部分设计、材质便于操作的，得2分；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针对本项目的投标产品配置选型差，材质、设计明显不利于使用的，得</w:t>
            </w:r>
            <w:r>
              <w:rPr>
                <w:rFonts w:ascii="宋体" w:hAnsi="宋体" w:eastAsia="宋体" w:cs="宋体"/>
                <w:sz w:val="24"/>
                <w:szCs w:val="24"/>
                <w:highlight w:val="none"/>
              </w:rPr>
              <w:t xml:space="preserve">0.5</w:t>
            </w:r>
            <w:r>
              <w:rPr>
                <w:rFonts w:hint="eastAsia" w:ascii="宋体" w:hAnsi="宋体" w:eastAsia="宋体" w:cs="宋体"/>
                <w:sz w:val="24"/>
                <w:szCs w:val="24"/>
                <w:highlight w:val="none"/>
              </w:rPr>
              <w:t xml:space="preserve">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其余不得分。</w:t>
            </w:r>
            <w:r>
              <w:rPr>
                <w:highlight w:val="none"/>
              </w:rPr>
            </w:r>
          </w:p>
        </w:tc>
      </w:tr>
    </w:tbl>
    <w:p>
      <w:pPr>
        <w:pStyle w:val="751"/>
        <w:jc w:val="center"/>
        <w:rPr>
          <w:rFonts w:hint="eastAsia" w:ascii="微软雅黑" w:hAnsi="微软雅黑" w:eastAsia="微软雅黑" w:cs="微软雅黑"/>
          <w:highlight w:val="none"/>
        </w:rPr>
      </w:pPr>
      <w:r>
        <w:rPr>
          <w:rFonts w:hint="eastAsia" w:ascii="仿宋" w:hAnsi="仿宋" w:eastAsia="仿宋" w:cs="仿宋"/>
          <w:bCs/>
          <w:sz w:val="24"/>
          <w:szCs w:val="24"/>
          <w:highlight w:val="none"/>
        </w:rPr>
        <w:br w:type="page" w:clear="all"/>
      </w:r>
      <w:r>
        <w:rPr>
          <w:rFonts w:hint="eastAsia" w:ascii="微软雅黑" w:hAnsi="微软雅黑" w:eastAsia="微软雅黑" w:cs="微软雅黑"/>
          <w:highlight w:val="none"/>
        </w:rPr>
        <w:t xml:space="preserve">第六章</w:t>
      </w:r>
      <w:r>
        <w:rPr>
          <w:rFonts w:ascii="微软雅黑" w:hAnsi="微软雅黑" w:eastAsia="微软雅黑" w:cs="微软雅黑"/>
          <w:highlight w:val="none"/>
        </w:rPr>
        <w:t xml:space="preserve">  </w:t>
      </w:r>
      <w:r>
        <w:rPr>
          <w:rFonts w:hint="eastAsia" w:ascii="微软雅黑" w:hAnsi="微软雅黑" w:eastAsia="微软雅黑" w:cs="微软雅黑"/>
          <w:highlight w:val="none"/>
        </w:rPr>
        <w:t xml:space="preserve">投标文件格式</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52"/>
          <w:highlight w:val="none"/>
        </w:rPr>
        <w:t xml:space="preserve">投  标  文  件</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名 称：</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编 号：</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投标人名称 ：</w:t>
      </w:r>
      <w:r>
        <w:rPr>
          <w:rFonts w:ascii="宋体" w:hAnsi="宋体" w:eastAsia="宋体" w:cs="宋体"/>
          <w:b/>
          <w:sz w:val="36"/>
          <w:highlight w:val="none"/>
          <w:u w:val="single"/>
        </w:rPr>
        <w:t xml:space="preserve">（加盖CA电子公章）</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日      期 ：</w:t>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jc w:val="both"/>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幼圆" w:hAnsi="幼圆" w:eastAsia="幼圆" w:cs="幼圆"/>
          <w:b/>
          <w:sz w:val="28"/>
          <w:highlight w:val="none"/>
        </w:rPr>
        <w:t xml:space="preserve">投标文件目录</w:t>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一、基本目录</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1.开标一览表（格式见附件1）</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2.投标分项报价表（格式见附件2）</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3.技术要求响应及偏离表（格式见附件3）</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4.商务要求响应及偏离表（格式见附件4）</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二、资格审查内容</w:t>
      </w:r>
      <w:r>
        <w:rPr>
          <w:highlight w:val="none"/>
        </w:rPr>
      </w:r>
    </w:p>
    <w:p>
      <w:pPr>
        <w:ind w:firstLine="560"/>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1.投标人符合《政府采购法》第二十二条规定条件（格式见附件5）</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2.特定资格要求的证明文件（如果本项目对投标人做出特定资格要求的，必须提供）（格式见附件6）</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3.投标函（格式见附件7）</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4.中小微企业声明函（格式见附件8）</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5.残疾人福利性单位声明函（格式见附件9）</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总备注：上述“资格审查内容”中1、3条投标人必须在投标文件中提供相关材料，否则作无效投标处理；2、</w:t>
      </w:r>
      <w:r>
        <w:rPr>
          <w:rFonts w:hint="eastAsia" w:ascii="仿宋" w:hAnsi="仿宋" w:eastAsia="仿宋" w:cs="仿宋"/>
          <w:sz w:val="28"/>
          <w:highlight w:val="none"/>
        </w:rPr>
        <w:t xml:space="preserve">4、5</w:t>
      </w:r>
      <w:r>
        <w:rPr>
          <w:rFonts w:ascii="仿宋" w:hAnsi="仿宋" w:eastAsia="仿宋" w:cs="仿宋"/>
          <w:sz w:val="28"/>
          <w:highlight w:val="none"/>
        </w:rPr>
        <w:t xml:space="preserve">条如招标文件要求必须提供相关材料而未提供的，作无效投标处理。</w:t>
      </w:r>
      <w:r>
        <w:rPr>
          <w:highlight w:val="none"/>
        </w:rPr>
      </w:r>
    </w:p>
    <w:p>
      <w:pPr>
        <w:ind w:firstLine="562"/>
        <w:jc w:val="both"/>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三、符合性审查内容</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四、价格扣除证明文件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1.中小微企业声明函（格式见附件8）</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2.残疾人福利性单位声明函（格式见附件9）</w:t>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52"/>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 开标一览表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开标一览表</w:t>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投标人全称（加盖CA电子签章）：</w:t>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项目名称：</w:t>
      </w:r>
      <w:r>
        <w:rPr>
          <w:highlight w:val="none"/>
        </w:rPr>
      </w:r>
    </w:p>
    <w:p>
      <w:pPr>
        <w:ind w:firstLine="482"/>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项目编号：</w:t>
      </w:r>
      <w:r>
        <w:rPr>
          <w:highlight w:val="none"/>
        </w:rP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bl>
      <w:tblPr>
        <w:tblStyle w:val="78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1"/>
        <w:gridCol w:w="6640"/>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w:t>
            </w:r>
            <w:r>
              <w:rPr>
                <w:highlight w:val="none"/>
              </w:rP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小写：</w:t>
            </w:r>
            <w:r>
              <w:rPr>
                <w:rFonts w:ascii="Calibri" w:hAnsi="Calibri" w:eastAsia="仿宋" w:cs="Calibri"/>
                <w:sz w:val="28"/>
                <w:highlight w:val="none"/>
              </w:rPr>
              <w:t xml:space="preserve">     </w:t>
            </w:r>
            <w:r>
              <w:rPr>
                <w:rFonts w:ascii="仿宋" w:hAnsi="仿宋" w:eastAsia="仿宋" w:cs="仿宋"/>
                <w:sz w:val="28"/>
                <w:highlight w:val="none"/>
              </w:rPr>
              <w:t xml:space="preserve">                          （人民币：          元）</w:t>
            </w:r>
            <w:r>
              <w:rPr>
                <w:highlight w:val="none"/>
              </w:rP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产品品牌</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firstLine="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52"/>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 投标分项报价表</w:t>
      </w:r>
      <w:r>
        <w:rPr>
          <w:highlight w:val="none"/>
        </w:rPr>
      </w:r>
    </w:p>
    <w:p>
      <w:pPr>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投标分项报价表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bl>
      <w:tblPr>
        <w:tblStyle w:val="784"/>
        <w:tblW w:w="949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1332"/>
        <w:gridCol w:w="997"/>
        <w:gridCol w:w="1292"/>
        <w:gridCol w:w="1417"/>
        <w:gridCol w:w="790"/>
        <w:gridCol w:w="1053"/>
        <w:gridCol w:w="939"/>
        <w:gridCol w:w="468"/>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品牌</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规格</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型号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制造商名称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交付期</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总价</w:t>
            </w:r>
            <w:r>
              <w:rPr>
                <w:highlight w:val="none"/>
              </w:rP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8"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投标总报价（人民币：元）</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2.“投标分项报价表”中“投标总报价”数额应当与“开标一览表”中“投标总报价”数额一致。</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3.投标人需认真填写本报价表，尤其注意规格型号的准确填写。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4.项目经办人可以根据项目实际需要对表格结构进行调整。</w:t>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52"/>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附件2(2) </w:t>
      </w:r>
      <w:r>
        <w:rPr>
          <w:rFonts w:hint="eastAsia" w:ascii="仿宋" w:hAnsi="仿宋" w:eastAsia="仿宋" w:cs="仿宋"/>
          <w:b/>
          <w:sz w:val="28"/>
          <w:highlight w:val="none"/>
        </w:rPr>
        <w:t xml:space="preserve">质保期满后三年期的备品备件明细表</w:t>
      </w:r>
      <w:r>
        <w:rPr>
          <w:highlight w:val="none"/>
        </w:rPr>
      </w:r>
    </w:p>
    <w:p>
      <w:pPr>
        <w:jc w:val="center"/>
        <w:spacing w:line="500" w:lineRule="exact"/>
        <w:rPr>
          <w:highlight w:val="none"/>
        </w:rPr>
      </w:pPr>
      <w:r>
        <w:rPr>
          <w:highlight w:val="none"/>
        </w:rPr>
      </w:r>
      <w:r>
        <w:rPr>
          <w:highlight w:val="none"/>
        </w:rPr>
      </w:r>
    </w:p>
    <w:p>
      <w:pPr>
        <w:jc w:val="center"/>
        <w:spacing w:line="500" w:lineRule="exact"/>
        <w:rPr>
          <w:rFonts w:hint="eastAsia" w:ascii="仿宋" w:hAnsi="仿宋" w:eastAsia="仿宋"/>
          <w:highlight w:val="none"/>
        </w:rPr>
      </w:pPr>
      <w:r>
        <w:rPr>
          <w:rFonts w:hint="eastAsia" w:ascii="仿宋" w:hAnsi="仿宋" w:eastAsia="仿宋"/>
          <w:b/>
          <w:sz w:val="28"/>
          <w:highlight w:val="none"/>
        </w:rPr>
        <w:t xml:space="preserve">质保期满后三年期的备品备件明细表（如适用）</w:t>
      </w:r>
      <w:r>
        <w:rPr>
          <w:highlight w:val="none"/>
        </w:rPr>
      </w:r>
    </w:p>
    <w:p>
      <w:pPr>
        <w:jc w:val="center"/>
        <w:spacing w:line="500" w:lineRule="exact"/>
        <w:rPr>
          <w:rFonts w:hint="eastAsia" w:ascii="仿宋" w:hAnsi="仿宋" w:eastAsia="仿宋"/>
          <w:highlight w:val="none"/>
        </w:rPr>
      </w:pPr>
      <w:r>
        <w:rPr>
          <w:rFonts w:hint="eastAsia" w:ascii="仿宋" w:hAnsi="仿宋" w:eastAsia="仿宋"/>
          <w:highlight w:val="none"/>
        </w:rPr>
      </w:r>
      <w:r>
        <w:rPr>
          <w:highlight w:val="none"/>
        </w:rPr>
      </w:r>
    </w:p>
    <w:tbl>
      <w:tblPr>
        <w:tblStyle w:val="76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2221"/>
        <w:gridCol w:w="1304"/>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序号</w:t>
            </w:r>
            <w:r>
              <w:rPr>
                <w:highlight w:val="none"/>
              </w:rPr>
            </w:r>
          </w:p>
        </w:tc>
        <w:tc>
          <w:tcPr>
            <w:tcBorders>
              <w:top w:val="single" w:color="auto" w:sz="4" w:space="0"/>
              <w:left w:val="single" w:color="auto" w:sz="6" w:space="0"/>
              <w:bottom w:val="single" w:color="auto" w:sz="4" w:space="0"/>
              <w:right w:val="single" w:color="auto" w:sz="6" w:space="0"/>
            </w:tcBorders>
            <w:tcW w:w="2221" w:type="dxa"/>
            <w:vAlign w:val="center"/>
            <w:textDirection w:val="lrTb"/>
            <w:noWrap w:val="false"/>
          </w:tcPr>
          <w:p>
            <w:pPr>
              <w:ind w:right="-5"/>
              <w:jc w:val="center"/>
              <w:spacing w:line="500" w:lineRule="exact"/>
              <w:tabs>
                <w:tab w:val="left" w:pos="972" w:leader="none"/>
              </w:tabs>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备品备件</w:t>
            </w:r>
            <w:r>
              <w:rPr>
                <w:highlight w:val="none"/>
              </w:rPr>
            </w:r>
          </w:p>
          <w:p>
            <w:pPr>
              <w:ind w:right="-5"/>
              <w:jc w:val="center"/>
              <w:spacing w:line="500" w:lineRule="exact"/>
              <w:tabs>
                <w:tab w:val="left" w:pos="972" w:leader="none"/>
              </w:tabs>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名称</w:t>
            </w:r>
            <w:r>
              <w:rPr>
                <w:highlight w:val="none"/>
              </w:rPr>
            </w:r>
          </w:p>
        </w:tc>
        <w:tc>
          <w:tcPr>
            <w:tcBorders>
              <w:top w:val="single" w:color="auto" w:sz="4" w:space="0"/>
              <w:left w:val="single" w:color="auto" w:sz="6" w:space="0"/>
              <w:bottom w:val="single" w:color="auto" w:sz="4" w:space="0"/>
              <w:right w:val="single" w:color="auto" w:sz="6" w:space="0"/>
            </w:tcBorders>
            <w:tcW w:w="1304"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型号及规格</w:t>
            </w:r>
            <w:r>
              <w:rPr>
                <w:highlight w:val="none"/>
              </w:rP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数量</w:t>
            </w:r>
            <w:r>
              <w:rPr>
                <w:highlight w:val="none"/>
              </w:rPr>
            </w:r>
          </w:p>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(台)</w:t>
            </w:r>
            <w:r>
              <w:rPr>
                <w:highlight w:val="none"/>
              </w:rP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单价</w:t>
            </w:r>
            <w:r>
              <w:rPr>
                <w:highlight w:val="none"/>
              </w:rPr>
            </w:r>
          </w:p>
          <w:p>
            <w:pPr>
              <w:ind w:right="-5"/>
              <w:jc w:val="center"/>
              <w:spacing w:line="50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w:t>
            </w:r>
            <w:r>
              <w:rPr>
                <w:rFonts w:hint="eastAsia" w:ascii="仿宋" w:hAnsi="仿宋" w:eastAsia="仿宋"/>
                <w:b/>
                <w:bCs/>
                <w:sz w:val="28"/>
                <w:szCs w:val="28"/>
                <w:highlight w:val="none"/>
              </w:rPr>
              <w:t xml:space="preserve">万元</w:t>
            </w:r>
            <w:r>
              <w:rPr>
                <w:rFonts w:ascii="仿宋" w:hAnsi="仿宋" w:eastAsia="仿宋"/>
                <w:b/>
                <w:bCs/>
                <w:sz w:val="28"/>
                <w:szCs w:val="28"/>
                <w:highlight w:val="none"/>
              </w:rPr>
              <w:t xml:space="preserve">)</w:t>
            </w:r>
            <w:r>
              <w:rPr>
                <w:highlight w:val="none"/>
              </w:rP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备注</w:t>
            </w:r>
            <w:r>
              <w:rPr>
                <w:highlight w:val="none"/>
              </w:rPr>
            </w:r>
          </w:p>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(如外购请注明产地、制造商)</w:t>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bl>
    <w:p>
      <w:pPr>
        <w:jc w:val="center"/>
        <w:spacing w:line="500" w:lineRule="exact"/>
        <w:rPr>
          <w:highlight w:val="none"/>
        </w:rPr>
      </w:pPr>
      <w:r>
        <w:rPr>
          <w:rFonts w:hAnsi="宋体"/>
          <w:sz w:val="28"/>
          <w:szCs w:val="28"/>
          <w:highlight w:val="none"/>
        </w:rPr>
        <w:tab/>
      </w:r>
      <w:r>
        <w:rPr>
          <w:highlight w:val="none"/>
        </w:rP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投标人名称：</w:t>
      </w:r>
      <w:r>
        <w:rPr>
          <w:rFonts w:ascii="仿宋" w:hAnsi="仿宋" w:eastAsia="仿宋"/>
          <w:sz w:val="24"/>
          <w:highlight w:val="none"/>
          <w:u w:val="single"/>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（加盖CA电子公章）</w:t>
      </w:r>
      <w:r>
        <w:rPr>
          <w:rFonts w:ascii="仿宋" w:hAnsi="仿宋" w:eastAsia="仿宋"/>
          <w:sz w:val="24"/>
          <w:highlight w:val="none"/>
        </w:rPr>
        <w:t xml:space="preserve"> </w:t>
      </w:r>
      <w:r>
        <w:rPr>
          <w:highlight w:val="none"/>
        </w:rP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法定代表人或其授权代表签字：</w:t>
      </w:r>
      <w:r>
        <w:rPr>
          <w:rFonts w:ascii="仿宋" w:hAnsi="仿宋" w:eastAsia="仿宋"/>
          <w:sz w:val="24"/>
          <w:highlight w:val="none"/>
          <w:u w:val="single"/>
        </w:rPr>
        <w:t xml:space="preserve"> </w:t>
      </w:r>
      <w:r>
        <w:rPr>
          <w:highlight w:val="none"/>
        </w:rP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日期：2025年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rPr>
          <w:rFonts w:ascii="仿宋" w:hAnsi="仿宋" w:eastAsia="仿宋"/>
          <w:sz w:val="24"/>
          <w:highlight w:val="none"/>
        </w:rPr>
        <w:br w:type="page" w:clear="all"/>
      </w:r>
      <w:r>
        <w:rPr>
          <w:highlight w:val="none"/>
        </w:rPr>
      </w:r>
    </w:p>
    <w:p>
      <w:pPr>
        <w:pStyle w:val="752"/>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附件3 技术要求响应及偏离表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技术要求响应及偏离表</w:t>
      </w:r>
      <w:r>
        <w:rPr>
          <w:highlight w:val="none"/>
        </w:rP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附件3-1  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1.投标人需对技术要求逐条做出明确响应。</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52"/>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附件4 商务要求响应及偏离表</w:t>
      </w:r>
      <w:r>
        <w:rPr>
          <w:highlight w:val="none"/>
        </w:rPr>
      </w:r>
    </w:p>
    <w:p>
      <w:pPr>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商务要求响应及偏离表</w:t>
      </w:r>
      <w:r>
        <w:rPr>
          <w:highlight w:val="none"/>
        </w:rP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商务要求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附件4-1  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1.投标人需对商务要求逐条做出明确响应。</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52"/>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附件5 声明函</w:t>
      </w:r>
      <w:r>
        <w:rPr>
          <w:highlight w:val="none"/>
        </w:rPr>
      </w:r>
    </w:p>
    <w:p>
      <w:pPr>
        <w:jc w:val="center"/>
        <w:rPr>
          <w:rFonts w:hint="eastAsia" w:ascii="仿宋" w:hAnsi="仿宋" w:eastAsia="仿宋" w:cs="仿宋"/>
          <w:b/>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r>
      <w:r>
        <w:rPr>
          <w:highlight w:val="none"/>
        </w:rP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投标人符合《政府采购法》第二十二条规定条件的声明函</w:t>
      </w:r>
      <w:r>
        <w:rPr>
          <w:highlight w:val="none"/>
        </w:rPr>
      </w:r>
    </w:p>
    <w:p>
      <w:pPr>
        <w:jc w:val="both"/>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我单位参加</w:t>
      </w:r>
      <w:r>
        <w:rPr>
          <w:rFonts w:hint="eastAsia" w:ascii="仿宋" w:hAnsi="仿宋" w:eastAsia="仿宋" w:cs="仿宋"/>
          <w:sz w:val="28"/>
          <w:highlight w:val="none"/>
          <w:u w:val="single"/>
        </w:rPr>
        <w:t xml:space="preserve">________________ _</w:t>
      </w:r>
      <w:r>
        <w:rPr>
          <w:rFonts w:hint="eastAsia" w:ascii="仿宋" w:hAnsi="仿宋" w:eastAsia="仿宋" w:cs="仿宋"/>
          <w:sz w:val="28"/>
          <w:highlight w:val="none"/>
        </w:rPr>
        <w:t xml:space="preserve">（项目名称），</w:t>
      </w:r>
      <w:r>
        <w:rPr>
          <w:rFonts w:hint="eastAsia" w:ascii="仿宋" w:hAnsi="仿宋" w:eastAsia="仿宋" w:cs="仿宋"/>
          <w:sz w:val="28"/>
          <w:highlight w:val="none"/>
          <w:u w:val="single"/>
        </w:rPr>
        <w:t xml:space="preserve">_______ __________</w:t>
      </w:r>
      <w:r>
        <w:rPr>
          <w:rFonts w:hint="eastAsia" w:ascii="仿宋" w:hAnsi="仿宋" w:eastAsia="仿宋" w:cs="仿宋"/>
          <w:sz w:val="28"/>
          <w:highlight w:val="none"/>
        </w:rPr>
        <w:t xml:space="preserve">（项目编号）投标活动。针对《中华人民共和国政府采购法》第二十二条规定做出如下声明：</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1.我单位具有独立承担民事责任的能力；</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2.我单位具有良好的商业信誉和健全的财务会计制度；</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3.我单位具有履行合同所必需的设备和专业技术能力；</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4.我单位有依法缴纳税收和社会保障资金的良好记录；</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560"/>
        <w:jc w:val="both"/>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6.我单位满足法律、行政法规规定的其他条件。</w:t>
      </w:r>
      <w:r>
        <w:rPr>
          <w:highlight w:val="none"/>
        </w:rPr>
      </w:r>
    </w:p>
    <w:p>
      <w:pPr>
        <w:ind w:firstLine="482"/>
        <w:jc w:val="both"/>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                                      承诺人名称（公章）：</w:t>
      </w:r>
      <w:r>
        <w:rPr>
          <w:highlight w:val="none"/>
        </w:rPr>
      </w:r>
    </w:p>
    <w:p>
      <w:pPr>
        <w:jc w:val="right"/>
        <w:rPr>
          <w:rFonts w:hint="eastAsia" w:ascii="仿宋" w:hAnsi="仿宋" w:eastAsia="仿宋" w:cs="仿宋"/>
          <w:sz w:val="28"/>
          <w:highlight w:val="none"/>
        </w:rPr>
      </w:pPr>
      <w:r>
        <w:rPr>
          <w:rFonts w:hint="eastAsia" w:ascii="仿宋" w:hAnsi="仿宋" w:eastAsia="仿宋" w:cs="仿宋"/>
          <w:sz w:val="28"/>
          <w:highlight w:val="none"/>
        </w:rPr>
        <w:t xml:space="preserve">日期：</w:t>
      </w:r>
      <w:r>
        <w:rPr>
          <w:rFonts w:hint="eastAsia" w:ascii="仿宋" w:hAnsi="仿宋" w:eastAsia="仿宋" w:cs="仿宋"/>
          <w:sz w:val="28"/>
          <w:highlight w:val="none"/>
          <w:u w:val="single"/>
        </w:rPr>
        <w:t xml:space="preserve">______</w:t>
      </w:r>
      <w:r>
        <w:rPr>
          <w:rFonts w:hint="eastAsia" w:ascii="仿宋" w:hAnsi="仿宋" w:eastAsia="仿宋" w:cs="仿宋"/>
          <w:sz w:val="28"/>
          <w:highlight w:val="none"/>
        </w:rPr>
        <w:t xml:space="preserve">年</w:t>
      </w:r>
      <w:r>
        <w:rPr>
          <w:rFonts w:hint="eastAsia" w:ascii="仿宋" w:hAnsi="仿宋" w:eastAsia="仿宋" w:cs="仿宋"/>
          <w:sz w:val="28"/>
          <w:highlight w:val="none"/>
          <w:u w:val="single"/>
        </w:rPr>
        <w:t xml:space="preserve">___</w:t>
      </w:r>
      <w:r>
        <w:rPr>
          <w:rFonts w:hint="eastAsia" w:ascii="仿宋" w:hAnsi="仿宋" w:eastAsia="仿宋" w:cs="仿宋"/>
          <w:sz w:val="28"/>
          <w:highlight w:val="none"/>
        </w:rPr>
        <w:t xml:space="preserve">月</w:t>
      </w:r>
      <w:r>
        <w:rPr>
          <w:rFonts w:hint="eastAsia" w:ascii="仿宋" w:hAnsi="仿宋" w:eastAsia="仿宋" w:cs="仿宋"/>
          <w:sz w:val="28"/>
          <w:highlight w:val="none"/>
          <w:u w:val="single"/>
        </w:rPr>
        <w:t xml:space="preserve">___</w:t>
      </w:r>
      <w:r>
        <w:rPr>
          <w:rFonts w:hint="eastAsia" w:ascii="仿宋" w:hAnsi="仿宋" w:eastAsia="仿宋" w:cs="仿宋"/>
          <w:sz w:val="28"/>
          <w:highlight w:val="none"/>
        </w:rPr>
        <w:t xml:space="preserve">日</w:t>
      </w:r>
      <w:bookmarkStart w:id="8" w:name="_Toc178500680"/>
      <w:r>
        <w:rPr>
          <w:highlight w:val="none"/>
        </w:rPr>
      </w:r>
      <w:r>
        <w:rPr>
          <w:highlight w:val="none"/>
        </w:rPr>
      </w:r>
    </w:p>
    <w:p>
      <w:pPr>
        <w:rPr>
          <w:rFonts w:hint="eastAsia" w:ascii="宋体" w:hAnsi="宋体" w:eastAsia="宋体" w:cs="宋体"/>
          <w:b/>
          <w:sz w:val="28"/>
          <w:highlight w:val="none"/>
        </w:rPr>
      </w:pPr>
      <w:r>
        <w:rPr>
          <w:rFonts w:hint="eastAsia" w:ascii="仿宋" w:hAnsi="仿宋" w:eastAsia="仿宋" w:cs="仿宋"/>
          <w:sz w:val="28"/>
          <w:highlight w:val="none"/>
        </w:rPr>
        <w:br w:type="page" w:clear="all"/>
      </w:r>
      <w:r>
        <w:rPr>
          <w:highlight w:val="none"/>
        </w:rPr>
      </w:r>
    </w:p>
    <w:p>
      <w:pPr>
        <w:rPr>
          <w:rFonts w:hint="eastAsia" w:ascii="宋体" w:hAnsi="宋体" w:cs="宋体"/>
          <w:iCs/>
          <w:sz w:val="32"/>
          <w:szCs w:val="32"/>
          <w:highlight w:val="none"/>
          <w:u w:val="single"/>
        </w:rPr>
      </w:pPr>
      <w:r>
        <w:rPr>
          <w:highlight w:val="none"/>
        </w:rPr>
      </w:r>
      <w:bookmarkStart w:id="9" w:name="_Hlk209172852"/>
      <w:r>
        <w:rPr>
          <w:rFonts w:hint="eastAsia" w:ascii="宋体" w:hAnsi="宋体" w:cs="宋体"/>
          <w:iCs/>
          <w:sz w:val="32"/>
          <w:szCs w:val="32"/>
          <w:highlight w:val="none"/>
          <w:u w:val="single"/>
        </w:rPr>
        <w:t xml:space="preserve">一、具有独立承担民事责任的能力</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法人或者其他组织的营业执照等证明文件，自然人的身份证明</w:t>
      </w:r>
      <w:bookmarkEnd w:id="8"/>
      <w:r>
        <w:rPr>
          <w:highlight w:val="none"/>
        </w:rPr>
      </w:r>
      <w:r>
        <w:rPr>
          <w:highlight w:val="none"/>
        </w:rPr>
      </w:r>
    </w:p>
    <w:p>
      <w:pPr>
        <w:spacing w:line="276" w:lineRule="auto"/>
        <w:rPr>
          <w:rFonts w:hint="eastAsia" w:ascii="宋体" w:hAnsi="宋体" w:cs="宋体"/>
          <w:sz w:val="24"/>
          <w:szCs w:val="21"/>
          <w:highlight w:val="none"/>
        </w:rPr>
      </w:pPr>
      <w:r>
        <w:rPr>
          <w:rFonts w:hint="eastAsia" w:ascii="宋体" w:hAnsi="宋体" w:cs="宋体"/>
          <w:sz w:val="24"/>
          <w:szCs w:val="21"/>
          <w:highlight w:val="none"/>
        </w:rPr>
      </w:r>
      <w:r>
        <w:rPr>
          <w:highlight w:val="none"/>
        </w:rPr>
      </w:r>
    </w:p>
    <w:p>
      <w:pPr>
        <w:rPr>
          <w:rFonts w:hint="eastAsia" w:ascii="宋体" w:hAnsi="宋体" w:cs="宋体"/>
          <w:iCs/>
          <w:sz w:val="32"/>
          <w:szCs w:val="32"/>
          <w:highlight w:val="none"/>
          <w:u w:val="single"/>
        </w:rPr>
      </w:pPr>
      <w:r>
        <w:rPr>
          <w:highlight w:val="none"/>
        </w:rPr>
      </w:r>
      <w:bookmarkStart w:id="10" w:name="_Toc178500681"/>
      <w:r>
        <w:rPr>
          <w:rFonts w:hint="eastAsia" w:ascii="宋体" w:hAnsi="宋体" w:cs="宋体"/>
          <w:iCs/>
          <w:sz w:val="32"/>
          <w:szCs w:val="32"/>
          <w:highlight w:val="none"/>
          <w:u w:val="single"/>
        </w:rPr>
        <w:t xml:space="preserve">二、</w:t>
      </w:r>
      <w:bookmarkEnd w:id="10"/>
      <w:r>
        <w:rPr>
          <w:rFonts w:hint="eastAsia" w:ascii="宋体" w:hAnsi="宋体" w:cs="宋体"/>
          <w:iCs/>
          <w:sz w:val="32"/>
          <w:szCs w:val="32"/>
          <w:highlight w:val="none"/>
          <w:u w:val="single"/>
        </w:rPr>
        <w:t xml:space="preserve">具有良好的商业信誉和健全的财务会计制度</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提供上一年度的财务状况报告（2</w:t>
      </w:r>
      <w:r>
        <w:rPr>
          <w:rFonts w:ascii="宋体" w:hAnsi="宋体" w:cs="宋体"/>
          <w:bCs/>
          <w:iCs/>
          <w:sz w:val="24"/>
          <w:szCs w:val="21"/>
          <w:highlight w:val="none"/>
        </w:rPr>
        <w:t xml:space="preserve">024</w:t>
      </w:r>
      <w:r>
        <w:rPr>
          <w:rFonts w:hint="eastAsia" w:ascii="宋体" w:hAnsi="宋体" w:cs="宋体"/>
          <w:bCs/>
          <w:iCs/>
          <w:sz w:val="24"/>
          <w:szCs w:val="21"/>
          <w:highlight w:val="none"/>
        </w:rPr>
        <w:t xml:space="preserve">年度经审计的财务报告，或投标截止时间前六个月内任一月份企业编制的会计报表（至少包括资产负债表和利润表），或投标截止时间前六个月内银行出具的资信证明，复印件加盖公章），成立不满一年无需提供</w:t>
      </w:r>
      <w:r>
        <w:rPr>
          <w:highlight w:val="none"/>
        </w:rPr>
      </w:r>
    </w:p>
    <w:p>
      <w:pPr>
        <w:spacing w:line="276" w:lineRule="auto"/>
        <w:rPr>
          <w:rFonts w:hint="eastAsia" w:ascii="宋体" w:hAnsi="宋体" w:cs="宋体"/>
          <w:i/>
          <w:sz w:val="32"/>
          <w:szCs w:val="32"/>
          <w:highlight w:val="none"/>
          <w:u w:val="single"/>
        </w:rPr>
      </w:pPr>
      <w:r>
        <w:rPr>
          <w:rFonts w:hint="eastAsia" w:ascii="宋体" w:hAnsi="宋体" w:cs="宋体"/>
          <w:i/>
          <w:sz w:val="32"/>
          <w:szCs w:val="32"/>
          <w:highlight w:val="none"/>
          <w:u w:val="single"/>
        </w:rPr>
      </w:r>
      <w:r>
        <w:rPr>
          <w:highlight w:val="none"/>
        </w:rPr>
      </w:r>
    </w:p>
    <w:p>
      <w:pPr>
        <w:rPr>
          <w:rFonts w:hint="eastAsia" w:ascii="宋体" w:hAnsi="宋体" w:cs="宋体"/>
          <w:iCs/>
          <w:sz w:val="32"/>
          <w:szCs w:val="32"/>
          <w:highlight w:val="none"/>
          <w:u w:val="single"/>
        </w:rPr>
      </w:pPr>
      <w:r>
        <w:rPr>
          <w:highlight w:val="none"/>
        </w:rPr>
      </w:r>
      <w:bookmarkStart w:id="11" w:name="_Toc178500682"/>
      <w:r>
        <w:rPr>
          <w:rFonts w:hint="eastAsia" w:ascii="宋体" w:hAnsi="宋体" w:cs="宋体"/>
          <w:iCs/>
          <w:sz w:val="32"/>
          <w:szCs w:val="32"/>
          <w:highlight w:val="none"/>
          <w:u w:val="single"/>
        </w:rPr>
        <w:t xml:space="preserve">三、</w:t>
      </w:r>
      <w:bookmarkEnd w:id="11"/>
      <w:r>
        <w:rPr>
          <w:rFonts w:hint="eastAsia" w:ascii="宋体" w:hAnsi="宋体" w:cs="宋体"/>
          <w:iCs/>
          <w:sz w:val="32"/>
          <w:szCs w:val="32"/>
          <w:highlight w:val="none"/>
          <w:u w:val="single"/>
        </w:rPr>
        <w:t xml:space="preserve">有依法缴纳税收和社会保障资金的良好记录</w:t>
      </w:r>
      <w:r>
        <w:rPr>
          <w:highlight w:val="none"/>
        </w:rPr>
      </w:r>
    </w:p>
    <w:p>
      <w:pPr>
        <w:ind w:firstLine="480"/>
        <w:spacing w:line="360" w:lineRule="auto"/>
        <w:rPr>
          <w:rFonts w:ascii="宋体" w:hAnsi="宋体" w:cs="宋体"/>
          <w:bCs/>
          <w:iCs/>
          <w:sz w:val="24"/>
          <w:szCs w:val="21"/>
          <w:highlight w:val="none"/>
        </w:rPr>
      </w:pPr>
      <w:r>
        <w:rPr>
          <w:highlight w:val="none"/>
        </w:rPr>
      </w:r>
      <w:bookmarkStart w:id="12" w:name="_Toc178500683"/>
      <w:r>
        <w:rPr>
          <w:rFonts w:hint="eastAsia" w:ascii="宋体" w:hAnsi="宋体" w:cs="宋体"/>
          <w:bCs/>
          <w:iCs/>
          <w:sz w:val="24"/>
          <w:szCs w:val="21"/>
          <w:highlight w:val="none"/>
        </w:rPr>
        <w:t xml:space="preserve">依法纳税凭据：提供参加政府采购活动前半年内（2025年0</w:t>
      </w:r>
      <w:r>
        <w:rPr>
          <w:rFonts w:hint="eastAsia" w:ascii="宋体" w:hAnsi="宋体" w:cs="宋体"/>
          <w:bCs/>
          <w:iCs/>
          <w:sz w:val="24"/>
          <w:szCs w:val="21"/>
          <w:highlight w:val="none"/>
          <w:lang w:val="en-US" w:eastAsia="zh-CN"/>
        </w:rPr>
        <w:t xml:space="preserve">6</w:t>
      </w:r>
      <w:r>
        <w:rPr>
          <w:rFonts w:hint="eastAsia" w:ascii="宋体" w:hAnsi="宋体" w:cs="宋体"/>
          <w:bCs/>
          <w:iCs/>
          <w:sz w:val="24"/>
          <w:szCs w:val="21"/>
          <w:highlight w:val="none"/>
        </w:rPr>
        <w:t xml:space="preserve">月-2025年</w:t>
      </w:r>
      <w:r>
        <w:rPr>
          <w:rFonts w:hint="eastAsia" w:ascii="宋体" w:hAnsi="宋体" w:cs="宋体"/>
          <w:bCs/>
          <w:iCs/>
          <w:sz w:val="24"/>
          <w:szCs w:val="21"/>
          <w:highlight w:val="none"/>
          <w:lang w:val="en-US" w:eastAsia="zh-CN"/>
        </w:rPr>
        <w:t xml:space="preserve">11</w:t>
      </w:r>
      <w:r>
        <w:rPr>
          <w:rFonts w:hint="eastAsia" w:ascii="宋体" w:hAnsi="宋体" w:cs="宋体"/>
          <w:bCs/>
          <w:iCs/>
          <w:sz w:val="24"/>
          <w:szCs w:val="21"/>
          <w:highlight w:val="none"/>
        </w:rPr>
        <w:t xml:space="preserve">月）的任一月依法纳税的凭据，如完税凭证或税务机关开具的完税证明（个人所得税除外）；</w:t>
      </w:r>
      <w:r>
        <w:rPr>
          <w:highlight w:val="none"/>
        </w:rPr>
      </w:r>
    </w:p>
    <w:p>
      <w:pPr>
        <w:ind w:firstLine="480"/>
        <w:spacing w:line="360"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缴纳社会保险的凭据：提供参加政府采购活动前半年内（2025年0</w:t>
      </w:r>
      <w:r>
        <w:rPr>
          <w:rFonts w:hint="eastAsia" w:ascii="宋体" w:hAnsi="宋体" w:cs="宋体"/>
          <w:bCs/>
          <w:iCs/>
          <w:sz w:val="24"/>
          <w:szCs w:val="21"/>
          <w:highlight w:val="none"/>
          <w:lang w:val="en-US" w:eastAsia="zh-CN"/>
        </w:rPr>
        <w:t xml:space="preserve">6</w:t>
      </w:r>
      <w:r>
        <w:rPr>
          <w:rFonts w:hint="eastAsia" w:ascii="宋体" w:hAnsi="宋体" w:cs="宋体"/>
          <w:bCs/>
          <w:iCs/>
          <w:sz w:val="24"/>
          <w:szCs w:val="21"/>
          <w:highlight w:val="none"/>
        </w:rPr>
        <w:t xml:space="preserve">月-2025年</w:t>
      </w:r>
      <w:r>
        <w:rPr>
          <w:rFonts w:hint="eastAsia" w:ascii="宋体" w:hAnsi="宋体" w:cs="宋体"/>
          <w:bCs/>
          <w:iCs/>
          <w:sz w:val="24"/>
          <w:szCs w:val="21"/>
          <w:highlight w:val="none"/>
          <w:lang w:val="en-US" w:eastAsia="zh-CN"/>
        </w:rPr>
        <w:t xml:space="preserve">11</w:t>
      </w:r>
      <w:r>
        <w:rPr>
          <w:rFonts w:hint="eastAsia" w:ascii="宋体" w:hAnsi="宋体" w:cs="宋体"/>
          <w:bCs/>
          <w:iCs/>
          <w:sz w:val="24"/>
          <w:szCs w:val="21"/>
          <w:highlight w:val="none"/>
        </w:rPr>
        <w:t xml:space="preserve">月）的任一月缴纳社会保险的凭据，如专用收据或社会保险缴纳清单；</w:t>
      </w:r>
      <w:r>
        <w:rPr>
          <w:highlight w:val="none"/>
        </w:rPr>
      </w:r>
    </w:p>
    <w:p>
      <w:pPr>
        <w:ind w:firstLine="480"/>
        <w:spacing w:line="360" w:lineRule="auto"/>
        <w:rPr>
          <w:rFonts w:ascii="宋体" w:hAnsi="宋体" w:cs="宋体"/>
          <w:bCs/>
          <w:iCs/>
          <w:sz w:val="24"/>
          <w:szCs w:val="21"/>
          <w:highlight w:val="none"/>
        </w:rPr>
      </w:pPr>
      <w:r>
        <w:rPr>
          <w:rFonts w:hint="eastAsia" w:ascii="宋体" w:hAnsi="宋体" w:cs="宋体"/>
          <w:bCs/>
          <w:iCs/>
          <w:sz w:val="24"/>
          <w:szCs w:val="21"/>
          <w:highlight w:val="none"/>
        </w:rPr>
        <w:t xml:space="preserve">依法免税或不需要缴纳社会保障资金的证明文件：如果供应商依法免税或不需要缴纳社会保障资金，则须提供相应的证明文件，以说明其免税或无需缴纳的依据和情况）</w:t>
      </w:r>
      <w:r>
        <w:rPr>
          <w:highlight w:val="none"/>
        </w:rPr>
      </w:r>
    </w:p>
    <w:p>
      <w:pPr>
        <w:rPr>
          <w:rFonts w:hint="eastAsia" w:ascii="宋体" w:hAnsi="宋体" w:cs="宋体"/>
          <w:iCs/>
          <w:sz w:val="32"/>
          <w:szCs w:val="32"/>
          <w:highlight w:val="none"/>
          <w:u w:val="single"/>
        </w:rPr>
      </w:pPr>
      <w:r>
        <w:rPr>
          <w:rFonts w:hint="eastAsia" w:ascii="宋体" w:hAnsi="宋体" w:cs="宋体"/>
          <w:iCs/>
          <w:sz w:val="32"/>
          <w:szCs w:val="32"/>
          <w:highlight w:val="none"/>
          <w:u w:val="single"/>
        </w:rPr>
        <w:t xml:space="preserve">四、具备履行合同所必需的设备和专业技术能力</w:t>
      </w:r>
      <w:bookmarkEnd w:id="12"/>
      <w:r>
        <w:rPr>
          <w:highlight w:val="none"/>
        </w:rPr>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提供书面声明：</w:t>
      </w:r>
      <w:r>
        <w:rPr>
          <w:highlight w:val="none"/>
        </w:rPr>
      </w:r>
    </w:p>
    <w:p>
      <w:pPr>
        <w:jc w:val="center"/>
        <w:spacing w:line="276" w:lineRule="auto"/>
        <w:rPr>
          <w:rFonts w:hint="eastAsia" w:ascii="宋体" w:hAnsi="宋体" w:cs="宋体"/>
          <w:bCs/>
          <w:sz w:val="32"/>
          <w:szCs w:val="32"/>
          <w:highlight w:val="none"/>
        </w:rPr>
      </w:pPr>
      <w:r>
        <w:rPr>
          <w:rFonts w:hint="eastAsia" w:ascii="宋体" w:hAnsi="宋体" w:cs="宋体"/>
          <w:bCs/>
          <w:sz w:val="32"/>
          <w:szCs w:val="32"/>
          <w:highlight w:val="none"/>
        </w:rPr>
        <w:t xml:space="preserve">声明</w:t>
      </w:r>
      <w:r>
        <w:rPr>
          <w:highlight w:val="none"/>
        </w:rPr>
      </w:r>
    </w:p>
    <w:p>
      <w:pPr>
        <w:ind w:firstLine="480"/>
        <w:spacing w:line="276" w:lineRule="auto"/>
        <w:rPr>
          <w:rFonts w:hint="eastAsia" w:ascii="宋体" w:hAnsi="宋体" w:cs="宋体"/>
          <w:bCs/>
          <w:sz w:val="2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p>
    <w:p>
      <w:pPr>
        <w:ind w:left="400"/>
        <w:spacing w:line="276" w:lineRule="auto"/>
        <w:rPr>
          <w:rFonts w:hint="eastAsia" w:ascii="宋体" w:hAnsi="宋体" w:cs="宋体"/>
          <w:bCs/>
          <w:sz w:val="24"/>
          <w:highlight w:val="none"/>
        </w:rPr>
      </w:pPr>
      <w:r>
        <w:rPr>
          <w:rFonts w:hint="eastAsia" w:ascii="宋体" w:hAnsi="宋体" w:cs="宋体"/>
          <w:bCs/>
          <w:sz w:val="24"/>
          <w:highlight w:val="none"/>
        </w:rPr>
        <w:t xml:space="preserve">我公司郑重声明：具有履行编号为</w:t>
      </w:r>
      <w:r>
        <w:rPr>
          <w:rFonts w:hint="eastAsia" w:ascii="仿宋" w:hAnsi="仿宋" w:eastAsia="仿宋"/>
          <w:sz w:val="28"/>
          <w:szCs w:val="28"/>
          <w:highlight w:val="none"/>
        </w:rPr>
        <w:t xml:space="preserve">JSZC-</w:t>
      </w:r>
      <w:r>
        <w:rPr>
          <w:rFonts w:ascii="仿宋" w:hAnsi="仿宋" w:eastAsia="仿宋"/>
          <w:sz w:val="28"/>
          <w:szCs w:val="28"/>
          <w:highlight w:val="none"/>
        </w:rPr>
        <w:t xml:space="preserve">320</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SHGK-</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hint="eastAsia" w:ascii="宋体" w:hAnsi="宋体" w:cs="宋体"/>
          <w:bCs/>
          <w:sz w:val="24"/>
          <w:highlight w:val="none"/>
        </w:rPr>
        <w:t xml:space="preserve">项下采购项目合同的设备和专业技术能力。</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ind w:firstLine="480"/>
        <w:spacing w:line="276" w:lineRule="auto"/>
        <w:rPr>
          <w:rFonts w:hint="eastAsia"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投标日期：202</w:t>
      </w:r>
      <w:r>
        <w:rPr>
          <w:rFonts w:ascii="宋体" w:hAnsi="宋体" w:cs="宋体"/>
          <w:bCs/>
          <w:sz w:val="24"/>
          <w:szCs w:val="21"/>
          <w:highlight w:val="none"/>
        </w:rPr>
        <w:t xml:space="preserve">5</w:t>
      </w:r>
      <w:r>
        <w:rPr>
          <w:rFonts w:hint="eastAsia" w:ascii="宋体" w:hAnsi="宋体" w:cs="宋体"/>
          <w:bCs/>
          <w:sz w:val="24"/>
          <w:szCs w:val="21"/>
          <w:highlight w:val="none"/>
        </w:rPr>
        <w:t xml:space="preserve">年XX月XX日</w:t>
      </w:r>
      <w:r>
        <w:rPr>
          <w:highlight w:val="none"/>
        </w:rPr>
      </w:r>
    </w:p>
    <w:p>
      <w:pPr>
        <w:spacing w:line="276" w:lineRule="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rPr>
          <w:rFonts w:hint="eastAsia" w:ascii="宋体" w:hAnsi="宋体" w:cs="宋体"/>
          <w:iCs/>
          <w:sz w:val="32"/>
          <w:szCs w:val="32"/>
          <w:highlight w:val="none"/>
          <w:u w:val="single"/>
        </w:rPr>
      </w:pPr>
      <w:r>
        <w:rPr>
          <w:highlight w:val="none"/>
        </w:rPr>
      </w:r>
      <w:bookmarkStart w:id="13" w:name="_Toc178500684"/>
      <w:r>
        <w:rPr>
          <w:rFonts w:hint="eastAsia" w:ascii="宋体" w:hAnsi="宋体" w:cs="宋体"/>
          <w:iCs/>
          <w:sz w:val="32"/>
          <w:szCs w:val="32"/>
          <w:highlight w:val="none"/>
          <w:u w:val="single"/>
        </w:rPr>
        <w:t xml:space="preserve">五、参加政府采购活动前 3 年内在经营活动中没有重大违法记录</w:t>
      </w:r>
      <w:bookmarkEnd w:id="13"/>
      <w:r>
        <w:rPr>
          <w:highlight w:val="none"/>
        </w:rPr>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提供书面声明：</w:t>
      </w:r>
      <w:r>
        <w:rPr>
          <w:highlight w:val="none"/>
        </w:rPr>
      </w:r>
    </w:p>
    <w:p>
      <w:pPr>
        <w:jc w:val="center"/>
        <w:spacing w:line="276" w:lineRule="auto"/>
        <w:rPr>
          <w:rFonts w:hint="eastAsia" w:ascii="宋体" w:hAnsi="宋体" w:cs="宋体"/>
          <w:bCs/>
          <w:sz w:val="24"/>
          <w:highlight w:val="none"/>
        </w:rPr>
      </w:pPr>
      <w:r>
        <w:rPr>
          <w:rFonts w:hint="eastAsia" w:ascii="宋体" w:hAnsi="宋体" w:cs="宋体"/>
          <w:bCs/>
          <w:sz w:val="32"/>
          <w:szCs w:val="32"/>
          <w:highlight w:val="none"/>
        </w:rPr>
        <w:t xml:space="preserve">声明</w:t>
      </w:r>
      <w:r>
        <w:rPr>
          <w:highlight w:val="none"/>
        </w:rPr>
      </w:r>
    </w:p>
    <w:p>
      <w:pPr>
        <w:ind w:firstLine="480"/>
        <w:spacing w:line="276" w:lineRule="auto"/>
        <w:rPr>
          <w:rFonts w:hint="eastAsia" w:ascii="宋体" w:hAnsi="宋体" w:cs="宋体"/>
          <w:b/>
          <w:bCs/>
          <w:sz w:val="44"/>
          <w:szCs w:val="4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p>
    <w:p>
      <w:pPr>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ind w:firstLine="426"/>
        <w:spacing w:line="276" w:lineRule="auto"/>
        <w:rPr>
          <w:rFonts w:hint="eastAsia"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p>
    <w:p>
      <w:pPr>
        <w:ind w:firstLine="426"/>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p>
    <w:p>
      <w:pPr>
        <w:ind w:firstLine="424"/>
        <w:jc w:val="both"/>
        <w:spacing w:line="519" w:lineRule="atLeast"/>
        <w:rPr>
          <w:rFonts w:hint="eastAsia" w:ascii="宋体" w:hAnsi="宋体" w:cs="宋体"/>
          <w:iCs/>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1"/>
          <w:highlight w:val="none"/>
        </w:rPr>
        <w:t xml:space="preserve">投标日期：202</w:t>
      </w:r>
      <w:r>
        <w:rPr>
          <w:rFonts w:ascii="宋体" w:hAnsi="宋体" w:cs="宋体"/>
          <w:bCs/>
          <w:sz w:val="24"/>
          <w:szCs w:val="21"/>
          <w:highlight w:val="none"/>
        </w:rPr>
        <w:t xml:space="preserve">5</w:t>
      </w:r>
      <w:r>
        <w:rPr>
          <w:rFonts w:hint="eastAsia" w:ascii="宋体" w:hAnsi="宋体" w:cs="宋体"/>
          <w:bCs/>
          <w:sz w:val="24"/>
          <w:szCs w:val="21"/>
          <w:highlight w:val="none"/>
        </w:rPr>
        <w:t xml:space="preserve">年XX月XX日</w:t>
      </w:r>
      <w:bookmarkStart w:id="14" w:name="_Toc178500685"/>
      <w:r>
        <w:rPr>
          <w:rFonts w:ascii="宋体" w:hAnsi="宋体" w:cs="宋体"/>
          <w:bCs/>
          <w:sz w:val="24"/>
          <w:szCs w:val="21"/>
          <w:highlight w:val="none"/>
        </w:rPr>
        <w:br w:type="page" w:clear="all"/>
      </w:r>
      <w:r>
        <w:rPr>
          <w:rFonts w:hint="eastAsia" w:ascii="宋体" w:hAnsi="宋体" w:cs="宋体"/>
          <w:iCs/>
          <w:sz w:val="32"/>
          <w:szCs w:val="32"/>
          <w:highlight w:val="none"/>
          <w:u w:val="single"/>
        </w:rPr>
        <w:t xml:space="preserve">六、具备法律、行政法规规定的其他资格条件的声明</w:t>
      </w:r>
      <w:r>
        <w:rPr>
          <w:highlight w:val="none"/>
        </w:rPr>
      </w:r>
    </w:p>
    <w:p>
      <w:pPr>
        <w:ind w:firstLine="560"/>
        <w:jc w:val="center"/>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声明</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致：南通大学附属医院</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我公司郑重声明：我公司具有XXXXX项目（项目编号XXXXXX）法律、行政法规规定的其他资格条件。</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特此声明！</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ind w:firstLine="425"/>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425"/>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425"/>
        <w:rPr>
          <w:rFonts w:hint="eastAsia"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bookmarkEnd w:id="9"/>
      <w:r>
        <w:rPr>
          <w:highlight w:val="none"/>
        </w:rPr>
      </w:r>
      <w:r>
        <w:rPr>
          <w:highlight w:val="none"/>
        </w:rPr>
      </w:r>
    </w:p>
    <w:p>
      <w:pPr>
        <w:pStyle w:val="783"/>
        <w:rPr>
          <w:highlight w:val="none"/>
        </w:rPr>
      </w:pPr>
      <w:r>
        <w:rPr>
          <w:rFonts w:hint="eastAsia"/>
          <w:highlight w:val="none"/>
        </w:rPr>
        <w:br w:type="page" w:clear="all"/>
      </w:r>
      <w:r>
        <w:rPr>
          <w:highlight w:val="none"/>
        </w:rPr>
      </w:r>
    </w:p>
    <w:p>
      <w:pPr>
        <w:pStyle w:val="752"/>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附件6</w:t>
      </w:r>
      <w:r>
        <w:rPr>
          <w:rFonts w:hint="eastAsia" w:ascii="仿宋" w:hAnsi="仿宋" w:eastAsia="仿宋" w:cs="仿宋"/>
          <w:b/>
          <w:sz w:val="28"/>
          <w:highlight w:val="none"/>
        </w:rPr>
        <w:t xml:space="preserve">特定资格要求的证明文件</w:t>
      </w:r>
      <w:bookmarkEnd w:id="14"/>
      <w:r>
        <w:rPr>
          <w:highlight w:val="none"/>
        </w:rPr>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w:t>
      </w:r>
      <w:r>
        <w:rPr>
          <w:rFonts w:ascii="仿宋" w:hAnsi="仿宋" w:eastAsia="仿宋" w:cs="仿宋"/>
          <w:sz w:val="28"/>
          <w:highlight w:val="none"/>
        </w:rPr>
        <w:t xml:space="preserve">）</w:t>
      </w:r>
      <w:r>
        <w:rPr>
          <w:rFonts w:hint="eastAsia" w:ascii="仿宋" w:hAnsi="仿宋" w:eastAsia="仿宋" w:cs="仿宋"/>
          <w:sz w:val="28"/>
          <w:highlight w:val="none"/>
        </w:rPr>
        <w:t xml:space="preserve">本项目接受产品经销商投标，投标产品如果为进口货物的，投标人须提供有效的制造商的授权书（复印件）。</w:t>
      </w:r>
      <w:r>
        <w:rPr>
          <w:highlight w:val="none"/>
        </w:rPr>
      </w:r>
    </w:p>
    <w:p>
      <w:pPr>
        <w:pStyle w:val="762"/>
        <w:rPr>
          <w:highlight w:val="none"/>
        </w:rPr>
      </w:pPr>
      <w:r>
        <w:rPr>
          <w:highlight w:val="none"/>
        </w:rPr>
      </w:r>
      <w:r>
        <w:rPr>
          <w:highlight w:val="none"/>
        </w:rPr>
      </w:r>
    </w:p>
    <w:p>
      <w:pPr>
        <w:ind w:firstLine="560"/>
        <w:jc w:val="both"/>
        <w:spacing w:line="479" w:lineRule="atLeast"/>
        <w:tabs>
          <w:tab w:val="left" w:pos="360" w:leader="none"/>
        </w:tabs>
        <w:rPr>
          <w:iCs/>
          <w:highlight w:val="none"/>
        </w:rPr>
        <w:pBdr>
          <w:top w:val="none" w:color="000000" w:sz="0" w:space="0"/>
          <w:left w:val="none" w:color="000000" w:sz="0" w:space="0"/>
          <w:bottom w:val="none" w:color="000000" w:sz="0" w:space="0"/>
          <w:right w:val="none" w:color="000000" w:sz="0" w:space="0"/>
        </w:pBdr>
      </w:pPr>
      <w:r>
        <w:rPr>
          <w:iCs/>
          <w:highlight w:val="none"/>
        </w:rPr>
        <w:br w:type="page" w:clear="all"/>
      </w:r>
      <w:r>
        <w:rPr>
          <w:highlight w:val="none"/>
        </w:rPr>
      </w:r>
    </w:p>
    <w:p>
      <w:pPr>
        <w:pStyle w:val="752"/>
        <w:jc w:val="center"/>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附件7投标函</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投标函</w:t>
      </w:r>
      <w:r>
        <w:rPr>
          <w:highlight w:val="none"/>
        </w:rPr>
      </w:r>
    </w:p>
    <w:p>
      <w:pPr>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致：</w:t>
      </w:r>
      <w:r>
        <w:rPr>
          <w:rFonts w:hint="eastAsia" w:ascii="仿宋" w:hAnsi="仿宋" w:eastAsia="仿宋" w:cs="仿宋"/>
          <w:sz w:val="28"/>
          <w:highlight w:val="none"/>
        </w:rPr>
        <w:t xml:space="preserve">江苏苏豪创新科技集团高科有限公司</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根据贵方的</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号招标文件，正式授权下述签字人_____(姓名)代表我方_______（投标人的名称），全权处理本次项目投标的有关事宜。</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据此函，__________签字人兹宣布同意如下：</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1.按招标文件规定的各项要求，向买方提供所需货物（包含与货物相关的服务）。</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2.我们完全理解贵方不一定将合同授予最低报价的投标人。</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3.我们已详细审核全部招标文件及其有效补充文件，我们知道必须放弃提出含糊不清或误解问题的权利。</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4.我们同意从规定的开标日期起遵循本投标文件，并在规定的投标有效期期满之前均具有约束力。</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5.同意向贵方提供贵方可能另外要求的与投标有关的任何证据或资料，并保证我方已提供和将要提供的文件是真实的、准确的。</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6.一旦我方中标,我方将根据招标文件的规定，严格履行合同的责任和义务,并保证在招标文件规定的时间完成项目，交付买方验收、使用。</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7.与本投标有关的正式通讯地址为：</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邮         编：</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电         话：</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传         真：</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投标人开户行：</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 </w:t>
      </w:r>
      <w:r>
        <w:rPr>
          <w:highlight w:val="none"/>
        </w:rPr>
      </w:r>
    </w:p>
    <w:p>
      <w:pPr>
        <w:ind w:firstLine="560"/>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期：________年____月____日</w:t>
      </w:r>
      <w:r>
        <w:rPr>
          <w:highlight w:val="none"/>
        </w:rPr>
      </w:r>
    </w:p>
    <w:p>
      <w:pPr>
        <w:pStyle w:val="783"/>
        <w:rPr>
          <w:highlight w:val="none"/>
        </w:rPr>
      </w:pPr>
      <w:r>
        <w:rPr>
          <w:highlight w:val="none"/>
        </w:rPr>
        <w:br w:type="page" w:clear="all"/>
      </w:r>
      <w:r>
        <w:rPr>
          <w:highlight w:val="none"/>
        </w:rPr>
      </w:r>
    </w:p>
    <w:p>
      <w:pPr>
        <w:pStyle w:val="752"/>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附件8 中小微企业声明函</w:t>
      </w:r>
      <w:r>
        <w:rPr>
          <w:highlight w:val="none"/>
        </w:rPr>
      </w:r>
    </w:p>
    <w:p>
      <w:pPr>
        <w:ind w:firstLine="28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中小微企业声明函（货物类项目）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本公司（联合体）郑重声明，根据《政府采购促进中小企业发展管理办法》(财库[2020]46号)的规定，本公司（联合体）参加</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组织的</w:t>
      </w:r>
      <w:r>
        <w:rPr>
          <w:rFonts w:ascii="仿宋" w:hAnsi="仿宋" w:eastAsia="仿宋" w:cs="仿宋"/>
          <w:sz w:val="28"/>
          <w:highlight w:val="none"/>
          <w:u w:val="single"/>
        </w:rPr>
        <w:t xml:space="preserve">（单位名称）</w:t>
      </w:r>
      <w:r>
        <w:rPr>
          <w:rFonts w:ascii="仿宋" w:hAnsi="仿宋" w:eastAsia="仿宋" w:cs="仿宋"/>
          <w:sz w:val="28"/>
          <w:highlight w:val="none"/>
        </w:rPr>
        <w:t xml:space="preserve">采购编号为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w:t>
      </w:r>
      <w:r>
        <w:rPr>
          <w:rFonts w:ascii="仿宋" w:hAnsi="仿宋" w:eastAsia="仿宋" w:cs="仿宋"/>
          <w:sz w:val="28"/>
          <w:highlight w:val="none"/>
          <w:u w:val="single"/>
        </w:rPr>
        <w:t xml:space="preserve">（项目名称）</w:t>
      </w:r>
      <w:r>
        <w:rPr>
          <w:rFonts w:ascii="仿宋" w:hAnsi="仿宋" w:eastAsia="仿宋" w:cs="仿宋"/>
          <w:sz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以上企业，不属于大企业的分支机构，不存在控股股东为大企业的情形，也不存在与大企业的负责人为同一人的情形。</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本企业对上述声明内容的真实性负责。如有虚假，将依法承担相应责任</w:t>
      </w:r>
      <w:r>
        <w:rPr>
          <w:highlight w:val="none"/>
        </w:rPr>
      </w:r>
    </w:p>
    <w:p>
      <w:pPr>
        <w:ind w:right="72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right="180" w:firstLine="420"/>
        <w:jc w:val="right"/>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企业名称（加盖CA电子公章）：</w:t>
      </w:r>
      <w:r>
        <w:rPr>
          <w:highlight w:val="none"/>
        </w:rPr>
      </w:r>
    </w:p>
    <w:p>
      <w:pPr>
        <w:ind w:right="480" w:firstLine="630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w:t>
      </w:r>
      <w:r>
        <w:rPr>
          <w:highlight w:val="none"/>
        </w:rPr>
      </w:r>
    </w:p>
    <w:p>
      <w:pPr>
        <w:ind w:right="480" w:firstLine="6300"/>
        <w:jc w:val="both"/>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1.从业人员、营业收入、资产总额填报上一年度数据，无上一年度数据的新成立企业可不填报。</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3.供应商自行勾选制造商的企业规模类型。</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52"/>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附件9残疾人福利性单位声明函</w:t>
      </w:r>
      <w:r>
        <w:rPr>
          <w:highlight w:val="none"/>
        </w:rPr>
      </w:r>
    </w:p>
    <w:p>
      <w:pPr>
        <w:ind w:left="561" w:hanging="14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残疾人福利性单位声明函（货物类项目）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的项目采购活动提供本单位制造的货物，或者提供其他残疾人福利性单位制造的货物（不包括使用非残疾人福利性单位注册商标的货物）。</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本单位对上述声明的真实性负责。如有虚假，将依法承担相应责任。</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 非专门面向中小微型企业采购的项目，供应商如不提供此声明函，价格将不做相应扣除。</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3.中标/成交供应商为残疾人福利性单位的，此声明函将随中标/成交结果同时公告，接受社会监督。</w:t>
      </w:r>
      <w:r>
        <w:rPr>
          <w:highlight w:val="none"/>
        </w:rPr>
      </w:r>
    </w:p>
    <w:p>
      <w:pPr>
        <w:ind w:firstLine="584"/>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8"/>
          <w:highlight w:val="none"/>
        </w:rPr>
        <w:t xml:space="preserve"> </w:t>
      </w:r>
      <w:r>
        <w:rPr>
          <w:highlight w:val="none"/>
        </w:rPr>
      </w:r>
    </w:p>
    <w:p>
      <w:pPr>
        <w:ind w:right="873" w:firstLine="584"/>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供应商全称（加盖CA电子章）：</w:t>
      </w:r>
      <w:r>
        <w:rPr>
          <w:highlight w:val="none"/>
        </w:rPr>
      </w:r>
    </w:p>
    <w:p>
      <w:pPr>
        <w:ind w:right="1559" w:firstLine="560"/>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日  期：</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52"/>
        <w:jc w:val="center"/>
        <w:spacing w:before="260" w:after="260" w:line="761" w:lineRule="atLeast"/>
        <w:rPr>
          <w:b/>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附件10实质性要求响应及偏离表</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实质性要求响应及偏离表</w:t>
      </w:r>
      <w:r>
        <w:rPr>
          <w:highlight w:val="none"/>
        </w:rPr>
      </w:r>
    </w:p>
    <w:tbl>
      <w:tblPr>
        <w:tblStyle w:val="784"/>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技术要求和商务要求中的实质性要求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1.投标人必须对技术要求和商务要求中的实质性要求逐条做出明确响应，否则作无效投标处理。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2.如果招标文件要求提供证明材料，投标人必须将证明材料列于该表之下。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3.投标人未对实质性要求逐条作出明确响应的，或未按招标文件要求提供证明材料的，该分包作无效投标处理。</w:t>
      </w:r>
      <w:r>
        <w:rPr>
          <w:highlight w:val="none"/>
        </w:rPr>
      </w:r>
    </w:p>
    <w:p>
      <w:pPr>
        <w:pStyle w:val="752"/>
        <w:jc w:val="center"/>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1授权委托书</w:t>
      </w:r>
      <w:r>
        <w:rPr>
          <w:rFonts w:ascii="仿宋" w:hAnsi="仿宋" w:eastAsia="仿宋" w:cs="仿宋"/>
          <w:b/>
          <w:sz w:val="28"/>
          <w:highlight w:val="none"/>
        </w:rPr>
        <w:t xml:space="preserve">（如有）</w:t>
      </w:r>
      <w:r>
        <w:rPr>
          <w:highlight w:val="none"/>
        </w:rPr>
      </w:r>
    </w:p>
    <w:p>
      <w:pPr>
        <w:ind w:firstLine="480"/>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r>
      <w:r>
        <w:rPr>
          <w:highlight w:val="none"/>
        </w:rPr>
      </w:r>
    </w:p>
    <w:p>
      <w:pPr>
        <w:ind w:firstLine="480"/>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本授权书声明：____________（</w:t>
      </w:r>
      <w:r>
        <w:rPr>
          <w:rFonts w:hint="eastAsia" w:ascii="仿宋" w:hAnsi="仿宋" w:eastAsia="仿宋" w:cs="仿宋"/>
          <w:sz w:val="28"/>
          <w:highlight w:val="none"/>
        </w:rPr>
        <w:t xml:space="preserve">投标人名称</w:t>
      </w:r>
      <w:r>
        <w:rPr>
          <w:rFonts w:ascii="仿宋" w:hAnsi="仿宋" w:eastAsia="仿宋" w:cs="仿宋"/>
          <w:sz w:val="28"/>
          <w:highlight w:val="none"/>
        </w:rPr>
        <w:t xml:space="preserve">）授权_____________（</w:t>
      </w: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的姓名）为我方就</w:t>
      </w:r>
      <w:r>
        <w:rPr>
          <w:rFonts w:hint="eastAsia" w:ascii="仿宋" w:hAnsi="仿宋" w:eastAsia="仿宋"/>
          <w:sz w:val="28"/>
          <w:szCs w:val="28"/>
          <w:highlight w:val="none"/>
        </w:rPr>
        <w:t xml:space="preserve">JSZC-</w:t>
      </w:r>
      <w:r>
        <w:rPr>
          <w:rFonts w:ascii="仿宋" w:hAnsi="仿宋" w:eastAsia="仿宋"/>
          <w:sz w:val="28"/>
          <w:szCs w:val="28"/>
          <w:highlight w:val="none"/>
        </w:rPr>
        <w:t xml:space="preserve">320</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SHGK</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ascii="仿宋" w:hAnsi="仿宋" w:eastAsia="仿宋" w:cs="仿宋"/>
          <w:sz w:val="28"/>
          <w:highlight w:val="none"/>
        </w:rPr>
        <w:t xml:space="preserve">号项目采购活动的合法代理人，以本单位名义全权处理一切与该项目采购有关的事务。</w:t>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本授权书于______年____月____日起生效，特此声明。</w:t>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授权代表姓名：</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身份证号码：</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联系电话：（手机）</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w:t>
      </w:r>
      <w:r>
        <w:rPr>
          <w:rFonts w:ascii="仿宋" w:hAnsi="仿宋" w:eastAsia="仿宋" w:cs="仿宋"/>
          <w:sz w:val="28"/>
          <w:highlight w:val="none"/>
        </w:rPr>
        <w:t xml:space="preserve">名称：</w:t>
      </w:r>
      <w:r>
        <w:rPr>
          <w:rFonts w:ascii="仿宋" w:hAnsi="仿宋" w:eastAsia="仿宋" w:cs="仿宋"/>
          <w:sz w:val="28"/>
          <w:highlight w:val="none"/>
          <w:u w:val="single"/>
        </w:rPr>
        <w:t xml:space="preserve">（加盖CA电子公章）</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单位地址：</w:t>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日期：</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说明:</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(1)本授权委托书之后需附上授权代表身份证复印件。</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(2)如果投标人有法定代表人且由其直接参与投标的可以不提供，但必须在营业执照后附法定代表人身份证复印件。</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(3)未按上述规定随附身份证复印件的，投标无效。</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52"/>
        <w:jc w:val="center"/>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2</w:t>
      </w:r>
      <w:r>
        <w:rPr>
          <w:rFonts w:ascii="仿宋" w:hAnsi="仿宋" w:eastAsia="仿宋" w:cs="仿宋"/>
          <w:b/>
          <w:sz w:val="28"/>
          <w:highlight w:val="none"/>
        </w:rPr>
        <w:t xml:space="preserve">相关业绩案例一览表（如有）</w:t>
      </w:r>
      <w:r>
        <w:rPr>
          <w:highlight w:val="none"/>
        </w:rPr>
      </w:r>
    </w:p>
    <w:tbl>
      <w:tblPr>
        <w:tblStyle w:val="784"/>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序号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项目名称</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供货设备清单</w:t>
            </w:r>
            <w:r>
              <w:rPr>
                <w:highlight w:val="none"/>
              </w:rPr>
            </w:r>
          </w:p>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（品牌、型号）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数量</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签订时间</w:t>
            </w:r>
            <w:r>
              <w:rPr>
                <w:highlight w:val="none"/>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业主名称</w:t>
            </w:r>
            <w:r>
              <w:rPr>
                <w:highlight w:val="none"/>
              </w:rPr>
            </w:r>
          </w:p>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联系人/电话</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5</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bl>
    <w:p>
      <w:pPr>
        <w:jc w:val="both"/>
        <w:spacing w:line="68"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说明：</w:t>
      </w:r>
      <w:r>
        <w:rPr>
          <w:highlight w:val="none"/>
        </w:rPr>
      </w:r>
    </w:p>
    <w:p>
      <w:pPr>
        <w:jc w:val="both"/>
        <w:spacing w:line="68"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1.投标人须提供上述业绩合同复印件；</w:t>
      </w:r>
      <w:r>
        <w:rPr>
          <w:highlight w:val="none"/>
        </w:rPr>
      </w:r>
    </w:p>
    <w:p>
      <w:pPr>
        <w:jc w:val="both"/>
        <w:spacing w:line="68"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2.所有合同复印件应清晰，应能体现合同签订时间、双方签名盖章等内容；</w:t>
      </w:r>
      <w:r>
        <w:rPr>
          <w:highlight w:val="none"/>
        </w:rPr>
      </w:r>
    </w:p>
    <w:p>
      <w:pPr>
        <w:jc w:val="both"/>
        <w:spacing w:line="68" w:lineRule="atLeast"/>
        <w:rPr>
          <w:rFonts w:hint="eastAsia" w:ascii="仿宋" w:hAnsi="仿宋"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3.投标人应在不涉及商业秘密的前提下尽可能提供详细的合同复印件内容。</w:t>
      </w:r>
      <w:r>
        <w:rPr>
          <w:highlight w:val="none"/>
        </w:rP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幼圆">
    <w:panose1 w:val="02010509060101010101"/>
  </w:font>
  <w:font w:name="仿宋_GB2312">
    <w:panose1 w:val="02010609060101010101"/>
  </w:font>
  <w:font w:name="仿宋">
    <w:panose1 w:val="0201060906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宋体">
    <w:panose1 w:val="02010600030101010101"/>
  </w:font>
  <w:font w:name="方正仿宋_GBK">
    <w:panose1 w:val="020B0503020202020204"/>
  </w:font>
  <w:font w:name="Cambria">
    <w:panose1 w:val="02040503050406030204"/>
  </w:font>
  <w:font w:name="楷体_GB2312">
    <w:panose1 w:val="0201060906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left="482"/>
      <w:jc w:val="center"/>
      <w:tabs>
        <w:tab w:val="center" w:pos="4153" w:leader="none"/>
        <w:tab w:val="clear" w:pos="7143" w:leader="none"/>
        <w:tab w:val="right" w:pos="8306" w:leader="none"/>
        <w:tab w:val="clear" w:pos="14287" w:leader="none"/>
      </w:tabs>
    </w:pPr>
    <w:r/>
    <w:r/>
  </w:p>
  <w:p>
    <w:pPr>
      <w:pStyle w:val="77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71"/>
          <w:jc w:val="center"/>
        </w:pPr>
        <w:r>
          <w:fldChar w:fldCharType="begin"/>
        </w:r>
        <w:r>
          <w:instrText xml:space="preserve">PAGE   \* MERGEFORMAT</w:instrText>
        </w:r>
        <w:r>
          <w:fldChar w:fldCharType="separate"/>
        </w:r>
        <w:r>
          <w:rPr>
            <w:lang w:val="zh-CN"/>
          </w:rPr>
          <w:t xml:space="preserve">28</w:t>
        </w:r>
        <w:r>
          <w:rPr>
            <w:lang w:val="zh-CN"/>
          </w:rPr>
          <w:fldChar w:fldCharType="end"/>
        </w:r>
        <w:r/>
      </w:p>
    </w:sdtContent>
  </w:sdt>
  <w:p>
    <w:pPr>
      <w:pStyle w:val="7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next w:val="762"/>
    <w:uiPriority w:val="0"/>
    <w:qFormat/>
    <w:pPr>
      <w:spacing w:after="160" w:line="278" w:lineRule="auto"/>
    </w:pPr>
    <w:rPr>
      <w:rFonts w:ascii="Times New Roman" w:hAnsi="Times New Roman" w:cs="Times New Roman" w:eastAsiaTheme="minorEastAsia"/>
      <w:lang w:val="en-US" w:eastAsia="zh-CN" w:bidi="ar-SA"/>
    </w:rPr>
  </w:style>
  <w:style w:type="paragraph" w:styleId="751">
    <w:name w:val="Heading 1"/>
    <w:basedOn w:val="750"/>
    <w:next w:val="750"/>
    <w:link w:val="826"/>
    <w:uiPriority w:val="9"/>
    <w:qFormat/>
    <w:pPr>
      <w:keepLines/>
      <w:keepNext/>
      <w:spacing w:before="480" w:after="200"/>
      <w:outlineLvl w:val="0"/>
    </w:pPr>
    <w:rPr>
      <w:rFonts w:ascii="Arial" w:hAnsi="Arial" w:eastAsia="Arial" w:cs="Arial"/>
      <w:sz w:val="40"/>
      <w:szCs w:val="40"/>
    </w:rPr>
  </w:style>
  <w:style w:type="paragraph" w:styleId="752">
    <w:name w:val="Heading 2"/>
    <w:next w:val="750"/>
    <w:link w:val="827"/>
    <w:uiPriority w:val="0"/>
    <w:unhideWhenUsed/>
    <w:qFormat/>
    <w:pPr>
      <w:keepLines/>
      <w:keepNext/>
      <w:spacing w:before="360" w:after="200" w:line="278" w:lineRule="auto"/>
      <w:outlineLvl w:val="1"/>
    </w:pPr>
    <w:rPr>
      <w:rFonts w:ascii="Arial" w:hAnsi="Arial" w:eastAsia="Arial" w:cs="Arial"/>
      <w:sz w:val="34"/>
      <w:lang w:val="en-US" w:eastAsia="zh-CN" w:bidi="ar-SA"/>
    </w:rPr>
  </w:style>
  <w:style w:type="paragraph" w:styleId="753">
    <w:name w:val="Heading 3"/>
    <w:next w:val="750"/>
    <w:link w:val="828"/>
    <w:uiPriority w:val="9"/>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754">
    <w:name w:val="Heading 4"/>
    <w:next w:val="750"/>
    <w:link w:val="829"/>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755">
    <w:name w:val="Heading 5"/>
    <w:next w:val="750"/>
    <w:link w:val="830"/>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756">
    <w:name w:val="Heading 6"/>
    <w:next w:val="750"/>
    <w:link w:val="831"/>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757">
    <w:name w:val="Heading 7"/>
    <w:next w:val="750"/>
    <w:link w:val="832"/>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758">
    <w:name w:val="Heading 8"/>
    <w:next w:val="750"/>
    <w:link w:val="833"/>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759">
    <w:name w:val="Heading 9"/>
    <w:next w:val="750"/>
    <w:link w:val="834"/>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760" w:default="1">
    <w:name w:val="Default Paragraph Font"/>
    <w:uiPriority w:val="1"/>
    <w:semiHidden/>
    <w:unhideWhenUsed/>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w:basedOn w:val="750"/>
    <w:next w:val="750"/>
    <w:uiPriority w:val="0"/>
    <w:qFormat/>
    <w:rPr>
      <w:rFonts w:ascii="楷体_GB2312" w:hAnsi="Arial" w:eastAsia="楷体_GB2312"/>
      <w:sz w:val="28"/>
      <w:szCs w:val="28"/>
    </w:rPr>
  </w:style>
  <w:style w:type="paragraph" w:styleId="763">
    <w:name w:val="toc 7"/>
    <w:next w:val="750"/>
    <w:uiPriority w:val="39"/>
    <w:unhideWhenUsed/>
    <w:qFormat/>
    <w:pPr>
      <w:ind w:left="1701"/>
      <w:spacing w:after="57" w:line="278" w:lineRule="auto"/>
    </w:pPr>
    <w:rPr>
      <w:rFonts w:ascii="Times New Roman" w:hAnsi="Times New Roman" w:cs="Times New Roman" w:eastAsiaTheme="minorEastAsia"/>
      <w:lang w:val="en-US" w:eastAsia="zh-CN" w:bidi="ar-SA"/>
    </w:rPr>
  </w:style>
  <w:style w:type="paragraph" w:styleId="764">
    <w:name w:val="Caption"/>
    <w:next w:val="750"/>
    <w:uiPriority w:val="35"/>
    <w:semiHidden/>
    <w:unhideWhenUsed/>
    <w:qFormat/>
    <w:pPr>
      <w:spacing w:after="160"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65">
    <w:name w:val="annotation text"/>
    <w:basedOn w:val="750"/>
    <w:link w:val="956"/>
    <w:uiPriority w:val="0"/>
    <w:unhideWhenUsed/>
    <w:qFormat/>
  </w:style>
  <w:style w:type="paragraph" w:styleId="766">
    <w:name w:val="toc 5"/>
    <w:next w:val="750"/>
    <w:uiPriority w:val="39"/>
    <w:unhideWhenUsed/>
    <w:qFormat/>
    <w:pPr>
      <w:ind w:left="1134"/>
      <w:spacing w:after="57" w:line="278" w:lineRule="auto"/>
    </w:pPr>
    <w:rPr>
      <w:rFonts w:ascii="Times New Roman" w:hAnsi="Times New Roman" w:cs="Times New Roman" w:eastAsiaTheme="minorEastAsia"/>
      <w:lang w:val="en-US" w:eastAsia="zh-CN" w:bidi="ar-SA"/>
    </w:rPr>
  </w:style>
  <w:style w:type="paragraph" w:styleId="767">
    <w:name w:val="toc 3"/>
    <w:next w:val="750"/>
    <w:uiPriority w:val="39"/>
    <w:unhideWhenUsed/>
    <w:qFormat/>
    <w:pPr>
      <w:ind w:left="567"/>
      <w:spacing w:after="57" w:line="278" w:lineRule="auto"/>
    </w:pPr>
    <w:rPr>
      <w:rFonts w:ascii="Times New Roman" w:hAnsi="Times New Roman" w:cs="Times New Roman" w:eastAsiaTheme="minorEastAsia"/>
      <w:lang w:val="en-US" w:eastAsia="zh-CN" w:bidi="ar-SA"/>
    </w:rPr>
  </w:style>
  <w:style w:type="paragraph" w:styleId="768">
    <w:name w:val="toc 8"/>
    <w:next w:val="750"/>
    <w:uiPriority w:val="39"/>
    <w:unhideWhenUsed/>
    <w:qFormat/>
    <w:pPr>
      <w:ind w:left="1984"/>
      <w:spacing w:after="57" w:line="278" w:lineRule="auto"/>
    </w:pPr>
    <w:rPr>
      <w:rFonts w:ascii="Times New Roman" w:hAnsi="Times New Roman" w:cs="Times New Roman" w:eastAsiaTheme="minorEastAsia"/>
      <w:lang w:val="en-US" w:eastAsia="zh-CN" w:bidi="ar-SA"/>
    </w:rPr>
  </w:style>
  <w:style w:type="paragraph" w:styleId="769">
    <w:name w:val="endnote text"/>
    <w:link w:val="953"/>
    <w:uiPriority w:val="99"/>
    <w:semiHidden/>
    <w:unhideWhenUsed/>
    <w:qFormat/>
    <w:pPr>
      <w:spacing w:after="160" w:line="278" w:lineRule="auto"/>
    </w:pPr>
    <w:rPr>
      <w:rFonts w:ascii="Times New Roman" w:hAnsi="Times New Roman" w:cs="Times New Roman" w:eastAsiaTheme="minorEastAsia"/>
      <w:lang w:val="en-US" w:eastAsia="zh-CN" w:bidi="ar-SA"/>
    </w:rPr>
  </w:style>
  <w:style w:type="paragraph" w:styleId="770">
    <w:name w:val="Balloon Text"/>
    <w:basedOn w:val="750"/>
    <w:link w:val="958"/>
    <w:uiPriority w:val="99"/>
    <w:semiHidden/>
    <w:unhideWhenUsed/>
    <w:qFormat/>
    <w:rPr>
      <w:sz w:val="18"/>
      <w:szCs w:val="18"/>
    </w:rPr>
  </w:style>
  <w:style w:type="paragraph" w:styleId="771">
    <w:name w:val="Footer"/>
    <w:basedOn w:val="750"/>
    <w:link w:val="845"/>
    <w:uiPriority w:val="99"/>
    <w:unhideWhenUsed/>
    <w:qFormat/>
    <w:pPr>
      <w:tabs>
        <w:tab w:val="center" w:pos="7143" w:leader="none"/>
        <w:tab w:val="right" w:pos="14287" w:leader="none"/>
      </w:tabs>
    </w:pPr>
  </w:style>
  <w:style w:type="paragraph" w:styleId="772">
    <w:name w:val="Header"/>
    <w:basedOn w:val="750"/>
    <w:link w:val="843"/>
    <w:uiPriority w:val="99"/>
    <w:unhideWhenUsed/>
    <w:qFormat/>
    <w:pPr>
      <w:tabs>
        <w:tab w:val="center" w:pos="7143" w:leader="none"/>
        <w:tab w:val="right" w:pos="14287" w:leader="none"/>
      </w:tabs>
    </w:pPr>
  </w:style>
  <w:style w:type="paragraph" w:styleId="773">
    <w:name w:val="toc 1"/>
    <w:next w:val="750"/>
    <w:uiPriority w:val="39"/>
    <w:unhideWhenUsed/>
    <w:qFormat/>
    <w:pPr>
      <w:spacing w:after="57" w:line="278" w:lineRule="auto"/>
    </w:pPr>
    <w:rPr>
      <w:rFonts w:ascii="Times New Roman" w:hAnsi="Times New Roman" w:cs="Times New Roman" w:eastAsiaTheme="minorEastAsia"/>
      <w:lang w:val="en-US" w:eastAsia="zh-CN" w:bidi="ar-SA"/>
    </w:rPr>
  </w:style>
  <w:style w:type="paragraph" w:styleId="774">
    <w:name w:val="toc 4"/>
    <w:next w:val="750"/>
    <w:uiPriority w:val="39"/>
    <w:unhideWhenUsed/>
    <w:qFormat/>
    <w:pPr>
      <w:ind w:left="850"/>
      <w:spacing w:after="57" w:line="278" w:lineRule="auto"/>
    </w:pPr>
    <w:rPr>
      <w:rFonts w:ascii="Times New Roman" w:hAnsi="Times New Roman" w:cs="Times New Roman" w:eastAsiaTheme="minorEastAsia"/>
      <w:lang w:val="en-US" w:eastAsia="zh-CN" w:bidi="ar-SA"/>
    </w:rPr>
  </w:style>
  <w:style w:type="paragraph" w:styleId="775">
    <w:name w:val="Subtitle"/>
    <w:link w:val="838"/>
    <w:uiPriority w:val="11"/>
    <w:qFormat/>
    <w:pPr>
      <w:spacing w:before="200" w:after="200" w:line="278" w:lineRule="auto"/>
    </w:pPr>
    <w:rPr>
      <w:rFonts w:ascii="Times New Roman" w:hAnsi="Times New Roman" w:cs="Times New Roman" w:eastAsiaTheme="minorEastAsia"/>
      <w:sz w:val="24"/>
      <w:szCs w:val="24"/>
      <w:lang w:val="en-US" w:eastAsia="zh-CN" w:bidi="ar-SA"/>
    </w:rPr>
  </w:style>
  <w:style w:type="paragraph" w:styleId="776">
    <w:name w:val="footnote text"/>
    <w:link w:val="952"/>
    <w:uiPriority w:val="99"/>
    <w:semiHidden/>
    <w:unhideWhenUsed/>
    <w:qFormat/>
    <w:pPr>
      <w:spacing w:after="40" w:line="278" w:lineRule="auto"/>
    </w:pPr>
    <w:rPr>
      <w:rFonts w:ascii="Times New Roman" w:hAnsi="Times New Roman" w:cs="Times New Roman" w:eastAsiaTheme="minorEastAsia"/>
      <w:sz w:val="18"/>
      <w:lang w:val="en-US" w:eastAsia="zh-CN" w:bidi="ar-SA"/>
    </w:rPr>
  </w:style>
  <w:style w:type="paragraph" w:styleId="777">
    <w:name w:val="toc 6"/>
    <w:next w:val="750"/>
    <w:uiPriority w:val="39"/>
    <w:unhideWhenUsed/>
    <w:qFormat/>
    <w:pPr>
      <w:ind w:left="1417"/>
      <w:spacing w:after="57" w:line="278" w:lineRule="auto"/>
    </w:pPr>
    <w:rPr>
      <w:rFonts w:ascii="Times New Roman" w:hAnsi="Times New Roman" w:cs="Times New Roman" w:eastAsiaTheme="minorEastAsia"/>
      <w:lang w:val="en-US" w:eastAsia="zh-CN" w:bidi="ar-SA"/>
    </w:rPr>
  </w:style>
  <w:style w:type="paragraph" w:styleId="778">
    <w:name w:val="table of figures"/>
    <w:next w:val="750"/>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779">
    <w:name w:val="toc 2"/>
    <w:next w:val="750"/>
    <w:uiPriority w:val="39"/>
    <w:unhideWhenUsed/>
    <w:qFormat/>
    <w:pPr>
      <w:ind w:left="283"/>
      <w:spacing w:after="57" w:line="278" w:lineRule="auto"/>
    </w:pPr>
    <w:rPr>
      <w:rFonts w:ascii="Times New Roman" w:hAnsi="Times New Roman" w:cs="Times New Roman" w:eastAsiaTheme="minorEastAsia"/>
      <w:lang w:val="en-US" w:eastAsia="zh-CN" w:bidi="ar-SA"/>
    </w:rPr>
  </w:style>
  <w:style w:type="paragraph" w:styleId="780">
    <w:name w:val="toc 9"/>
    <w:next w:val="750"/>
    <w:uiPriority w:val="39"/>
    <w:unhideWhenUsed/>
    <w:qFormat/>
    <w:pPr>
      <w:ind w:left="2268"/>
      <w:spacing w:after="57" w:line="278" w:lineRule="auto"/>
    </w:pPr>
    <w:rPr>
      <w:rFonts w:ascii="Times New Roman" w:hAnsi="Times New Roman" w:cs="Times New Roman" w:eastAsiaTheme="minorEastAsia"/>
      <w:lang w:val="en-US" w:eastAsia="zh-CN" w:bidi="ar-SA"/>
    </w:rPr>
  </w:style>
  <w:style w:type="paragraph" w:styleId="781">
    <w:name w:val="Title"/>
    <w:link w:val="837"/>
    <w:uiPriority w:val="10"/>
    <w:qFormat/>
    <w:pPr>
      <w:contextualSpacing/>
      <w:spacing w:before="300" w:after="200" w:line="278" w:lineRule="auto"/>
    </w:pPr>
    <w:rPr>
      <w:rFonts w:ascii="Times New Roman" w:hAnsi="Times New Roman" w:cs="Times New Roman" w:eastAsiaTheme="minorEastAsia"/>
      <w:sz w:val="48"/>
      <w:szCs w:val="48"/>
      <w:lang w:val="en-US" w:eastAsia="zh-CN" w:bidi="ar-SA"/>
    </w:rPr>
  </w:style>
  <w:style w:type="paragraph" w:styleId="782">
    <w:name w:val="annotation subject"/>
    <w:basedOn w:val="765"/>
    <w:next w:val="765"/>
    <w:link w:val="957"/>
    <w:uiPriority w:val="99"/>
    <w:semiHidden/>
    <w:unhideWhenUsed/>
    <w:qFormat/>
    <w:rPr>
      <w:b/>
      <w:bCs/>
    </w:rPr>
  </w:style>
  <w:style w:type="paragraph" w:styleId="783">
    <w:name w:val="Body Text First Indent"/>
    <w:basedOn w:val="762"/>
    <w:uiPriority w:val="0"/>
    <w:qFormat/>
    <w:pPr>
      <w:ind w:firstLine="420"/>
      <w:spacing w:after="120"/>
    </w:pPr>
    <w:rPr>
      <w:sz w:val="21"/>
      <w:szCs w:val="24"/>
      <w:lang w:val="zh-CN"/>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annotation reference"/>
    <w:basedOn w:val="760"/>
    <w:uiPriority w:val="0"/>
    <w:unhideWhenUsed/>
    <w:qFormat/>
    <w:rPr>
      <w:sz w:val="21"/>
      <w:szCs w:val="21"/>
    </w:rPr>
  </w:style>
  <w:style w:type="character" w:styleId="788">
    <w:name w:val="footnote reference"/>
    <w:uiPriority w:val="99"/>
    <w:unhideWhenUsed/>
    <w:qFormat/>
    <w:rPr>
      <w:vertAlign w:val="superscript"/>
    </w:rPr>
  </w:style>
  <w:style w:type="character" w:styleId="789" w:customStyle="1">
    <w:name w:val="Heading 1 Char"/>
    <w:basedOn w:val="760"/>
    <w:uiPriority w:val="9"/>
    <w:qFormat/>
    <w:rPr>
      <w:rFonts w:ascii="Arial" w:hAnsi="Arial" w:eastAsia="Arial" w:cs="Arial"/>
      <w:sz w:val="40"/>
      <w:szCs w:val="40"/>
    </w:rPr>
  </w:style>
  <w:style w:type="character" w:styleId="790" w:customStyle="1">
    <w:name w:val="Heading 2 Char"/>
    <w:basedOn w:val="760"/>
    <w:uiPriority w:val="9"/>
    <w:qFormat/>
    <w:rPr>
      <w:rFonts w:ascii="Arial" w:hAnsi="Arial" w:eastAsia="Arial" w:cs="Arial"/>
      <w:sz w:val="34"/>
    </w:rPr>
  </w:style>
  <w:style w:type="character" w:styleId="791" w:customStyle="1">
    <w:name w:val="Heading 3 Char"/>
    <w:basedOn w:val="760"/>
    <w:uiPriority w:val="9"/>
    <w:qFormat/>
    <w:rPr>
      <w:rFonts w:ascii="Arial" w:hAnsi="Arial" w:eastAsia="Arial" w:cs="Arial"/>
      <w:sz w:val="30"/>
      <w:szCs w:val="30"/>
    </w:rPr>
  </w:style>
  <w:style w:type="character" w:styleId="792" w:customStyle="1">
    <w:name w:val="Heading 4 Char"/>
    <w:basedOn w:val="760"/>
    <w:uiPriority w:val="9"/>
    <w:qFormat/>
    <w:rPr>
      <w:rFonts w:ascii="Arial" w:hAnsi="Arial" w:eastAsia="Arial" w:cs="Arial"/>
      <w:b/>
      <w:bCs/>
      <w:sz w:val="26"/>
      <w:szCs w:val="26"/>
    </w:rPr>
  </w:style>
  <w:style w:type="character" w:styleId="793" w:customStyle="1">
    <w:name w:val="Heading 5 Char"/>
    <w:basedOn w:val="760"/>
    <w:uiPriority w:val="9"/>
    <w:qFormat/>
    <w:rPr>
      <w:rFonts w:ascii="Arial" w:hAnsi="Arial" w:eastAsia="Arial" w:cs="Arial"/>
      <w:b/>
      <w:bCs/>
      <w:sz w:val="24"/>
      <w:szCs w:val="24"/>
    </w:rPr>
  </w:style>
  <w:style w:type="character" w:styleId="794" w:customStyle="1">
    <w:name w:val="Heading 6 Char"/>
    <w:basedOn w:val="760"/>
    <w:uiPriority w:val="9"/>
    <w:qFormat/>
    <w:rPr>
      <w:rFonts w:ascii="Arial" w:hAnsi="Arial" w:eastAsia="Arial" w:cs="Arial"/>
      <w:b/>
      <w:bCs/>
      <w:sz w:val="22"/>
      <w:szCs w:val="22"/>
    </w:rPr>
  </w:style>
  <w:style w:type="character" w:styleId="795" w:customStyle="1">
    <w:name w:val="Heading 7 Char"/>
    <w:basedOn w:val="760"/>
    <w:uiPriority w:val="9"/>
    <w:qFormat/>
    <w:rPr>
      <w:rFonts w:ascii="Arial" w:hAnsi="Arial" w:eastAsia="Arial" w:cs="Arial"/>
      <w:b/>
      <w:bCs/>
      <w:i/>
      <w:iCs/>
      <w:sz w:val="22"/>
      <w:szCs w:val="22"/>
    </w:rPr>
  </w:style>
  <w:style w:type="character" w:styleId="796" w:customStyle="1">
    <w:name w:val="Heading 8 Char"/>
    <w:basedOn w:val="760"/>
    <w:uiPriority w:val="9"/>
    <w:qFormat/>
    <w:rPr>
      <w:rFonts w:ascii="Arial" w:hAnsi="Arial" w:eastAsia="Arial" w:cs="Arial"/>
      <w:i/>
      <w:iCs/>
      <w:sz w:val="22"/>
      <w:szCs w:val="22"/>
    </w:rPr>
  </w:style>
  <w:style w:type="character" w:styleId="797" w:customStyle="1">
    <w:name w:val="Heading 9 Char"/>
    <w:basedOn w:val="760"/>
    <w:uiPriority w:val="9"/>
    <w:qFormat/>
    <w:rPr>
      <w:rFonts w:ascii="Arial" w:hAnsi="Arial" w:eastAsia="Arial" w:cs="Arial"/>
      <w:i/>
      <w:iCs/>
      <w:sz w:val="21"/>
      <w:szCs w:val="21"/>
    </w:rPr>
  </w:style>
  <w:style w:type="character" w:styleId="798" w:customStyle="1">
    <w:name w:val="Title Char"/>
    <w:basedOn w:val="760"/>
    <w:uiPriority w:val="10"/>
    <w:qFormat/>
    <w:rPr>
      <w:sz w:val="48"/>
      <w:szCs w:val="48"/>
    </w:rPr>
  </w:style>
  <w:style w:type="character" w:styleId="799" w:customStyle="1">
    <w:name w:val="Subtitle Char"/>
    <w:basedOn w:val="760"/>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60"/>
    <w:uiPriority w:val="99"/>
    <w:qFormat/>
  </w:style>
  <w:style w:type="character" w:styleId="803" w:customStyle="1">
    <w:name w:val="Caption Char"/>
    <w:uiPriority w:val="99"/>
    <w:qFormat/>
  </w:style>
  <w:style w:type="table" w:styleId="804"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清单表 7 彩色1"/>
    <w:basedOn w:val="7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pPr>
      <w:spacing w:after="160" w:line="278" w:lineRule="auto"/>
    </w:pPr>
    <w:rPr>
      <w:rFonts w:ascii="Times New Roman" w:hAnsi="Times New Roman" w:cs="Times New Roman" w:eastAsiaTheme="minorEastAsia"/>
      <w:lang w:val="en-US" w:eastAsia="zh-CN" w:bidi="ar-SA"/>
    </w:rPr>
  </w:style>
  <w:style w:type="character" w:styleId="826" w:customStyle="1">
    <w:name w:val="标题 1 字符"/>
    <w:link w:val="751"/>
    <w:uiPriority w:val="9"/>
    <w:qFormat/>
    <w:rPr>
      <w:rFonts w:ascii="Arial" w:hAnsi="Arial" w:eastAsia="Arial" w:cs="Arial"/>
      <w:sz w:val="40"/>
      <w:szCs w:val="40"/>
    </w:rPr>
  </w:style>
  <w:style w:type="character" w:styleId="827" w:customStyle="1">
    <w:name w:val="标题 2 字符"/>
    <w:link w:val="752"/>
    <w:uiPriority w:val="0"/>
    <w:qFormat/>
    <w:rPr>
      <w:rFonts w:ascii="Arial" w:hAnsi="Arial" w:eastAsia="Arial" w:cs="Arial"/>
      <w:sz w:val="34"/>
    </w:rPr>
  </w:style>
  <w:style w:type="character" w:styleId="828" w:customStyle="1">
    <w:name w:val="标题 3 字符"/>
    <w:link w:val="753"/>
    <w:uiPriority w:val="9"/>
    <w:qFormat/>
    <w:rPr>
      <w:rFonts w:ascii="Arial" w:hAnsi="Arial" w:eastAsia="Arial" w:cs="Arial"/>
      <w:sz w:val="30"/>
      <w:szCs w:val="30"/>
    </w:rPr>
  </w:style>
  <w:style w:type="character" w:styleId="829" w:customStyle="1">
    <w:name w:val="标题 4 字符"/>
    <w:link w:val="754"/>
    <w:uiPriority w:val="9"/>
    <w:qFormat/>
    <w:rPr>
      <w:rFonts w:ascii="Arial" w:hAnsi="Arial" w:eastAsia="Arial" w:cs="Arial"/>
      <w:b/>
      <w:bCs/>
      <w:sz w:val="26"/>
      <w:szCs w:val="26"/>
    </w:rPr>
  </w:style>
  <w:style w:type="character" w:styleId="830" w:customStyle="1">
    <w:name w:val="标题 5 字符"/>
    <w:link w:val="755"/>
    <w:uiPriority w:val="9"/>
    <w:qFormat/>
    <w:rPr>
      <w:rFonts w:ascii="Arial" w:hAnsi="Arial" w:eastAsia="Arial" w:cs="Arial"/>
      <w:b/>
      <w:bCs/>
      <w:sz w:val="24"/>
      <w:szCs w:val="24"/>
    </w:rPr>
  </w:style>
  <w:style w:type="character" w:styleId="831" w:customStyle="1">
    <w:name w:val="标题 6 字符"/>
    <w:link w:val="756"/>
    <w:uiPriority w:val="9"/>
    <w:qFormat/>
    <w:rPr>
      <w:rFonts w:ascii="Arial" w:hAnsi="Arial" w:eastAsia="Arial" w:cs="Arial"/>
      <w:b/>
      <w:bCs/>
      <w:sz w:val="22"/>
      <w:szCs w:val="22"/>
    </w:rPr>
  </w:style>
  <w:style w:type="character" w:styleId="832" w:customStyle="1">
    <w:name w:val="标题 7 字符"/>
    <w:link w:val="757"/>
    <w:uiPriority w:val="9"/>
    <w:qFormat/>
    <w:rPr>
      <w:rFonts w:ascii="Arial" w:hAnsi="Arial" w:eastAsia="Arial" w:cs="Arial"/>
      <w:b/>
      <w:bCs/>
      <w:i/>
      <w:iCs/>
      <w:sz w:val="22"/>
      <w:szCs w:val="22"/>
    </w:rPr>
  </w:style>
  <w:style w:type="character" w:styleId="833" w:customStyle="1">
    <w:name w:val="标题 8 字符"/>
    <w:link w:val="758"/>
    <w:uiPriority w:val="9"/>
    <w:qFormat/>
    <w:rPr>
      <w:rFonts w:ascii="Arial" w:hAnsi="Arial" w:eastAsia="Arial" w:cs="Arial"/>
      <w:i/>
      <w:iCs/>
      <w:sz w:val="22"/>
      <w:szCs w:val="22"/>
    </w:rPr>
  </w:style>
  <w:style w:type="character" w:styleId="834" w:customStyle="1">
    <w:name w:val="标题 9 字符"/>
    <w:link w:val="759"/>
    <w:uiPriority w:val="9"/>
    <w:qFormat/>
    <w:rPr>
      <w:rFonts w:ascii="Arial" w:hAnsi="Arial" w:eastAsia="Arial" w:cs="Arial"/>
      <w:i/>
      <w:iCs/>
      <w:sz w:val="21"/>
      <w:szCs w:val="21"/>
    </w:rPr>
  </w:style>
  <w:style w:type="paragraph" w:styleId="835">
    <w:name w:val="List Paragraph"/>
    <w:uiPriority w:val="99"/>
    <w:qFormat/>
    <w:pPr>
      <w:contextualSpacing/>
      <w:ind w:left="720"/>
      <w:spacing w:after="160" w:line="278" w:lineRule="auto"/>
    </w:pPr>
    <w:rPr>
      <w:rFonts w:ascii="Times New Roman" w:hAnsi="Times New Roman" w:cs="Times New Roman" w:eastAsiaTheme="minorEastAsia"/>
      <w:lang w:val="en-US" w:eastAsia="zh-CN" w:bidi="ar-SA"/>
    </w:rPr>
  </w:style>
  <w:style w:type="paragraph" w:styleId="836">
    <w:name w:val="No Spacing"/>
    <w:uiPriority w:val="1"/>
    <w:qFormat/>
    <w:pPr>
      <w:spacing w:after="160" w:line="278" w:lineRule="auto"/>
    </w:pPr>
    <w:rPr>
      <w:rFonts w:ascii="Times New Roman" w:hAnsi="Times New Roman" w:cs="Times New Roman" w:eastAsiaTheme="minorEastAsia"/>
      <w:lang w:val="en-US" w:eastAsia="zh-CN" w:bidi="ar-SA"/>
    </w:rPr>
  </w:style>
  <w:style w:type="character" w:styleId="837" w:customStyle="1">
    <w:name w:val="标题 字符"/>
    <w:link w:val="781"/>
    <w:uiPriority w:val="10"/>
    <w:qFormat/>
    <w:rPr>
      <w:sz w:val="48"/>
      <w:szCs w:val="48"/>
    </w:rPr>
  </w:style>
  <w:style w:type="character" w:styleId="838" w:customStyle="1">
    <w:name w:val="副标题 字符"/>
    <w:link w:val="775"/>
    <w:uiPriority w:val="11"/>
    <w:qFormat/>
    <w:rPr>
      <w:sz w:val="24"/>
      <w:szCs w:val="24"/>
    </w:rPr>
  </w:style>
  <w:style w:type="paragraph" w:styleId="839">
    <w:name w:val="Quote"/>
    <w:link w:val="840"/>
    <w:uiPriority w:val="29"/>
    <w:qFormat/>
    <w:pPr>
      <w:ind w:left="720" w:right="720"/>
      <w:spacing w:after="160" w:line="278" w:lineRule="auto"/>
    </w:pPr>
    <w:rPr>
      <w:rFonts w:ascii="Times New Roman" w:hAnsi="Times New Roman" w:cs="Times New Roman" w:eastAsiaTheme="minorEastAsia"/>
      <w:i/>
      <w:lang w:val="en-US" w:eastAsia="zh-CN" w:bidi="ar-SA"/>
    </w:rPr>
  </w:style>
  <w:style w:type="character" w:styleId="840" w:customStyle="1">
    <w:name w:val="引用 字符"/>
    <w:link w:val="839"/>
    <w:uiPriority w:val="29"/>
    <w:qFormat/>
    <w:rPr>
      <w:i/>
    </w:rPr>
  </w:style>
  <w:style w:type="paragraph" w:styleId="841">
    <w:name w:val="Intense Quote"/>
    <w:link w:val="842"/>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842" w:customStyle="1">
    <w:name w:val="明显引用 字符"/>
    <w:link w:val="841"/>
    <w:uiPriority w:val="30"/>
    <w:qFormat/>
    <w:rPr>
      <w:i/>
    </w:rPr>
  </w:style>
  <w:style w:type="character" w:styleId="843" w:customStyle="1">
    <w:name w:val="页眉 字符"/>
    <w:link w:val="772"/>
    <w:uiPriority w:val="99"/>
    <w:qFormat/>
  </w:style>
  <w:style w:type="character" w:styleId="844" w:customStyle="1">
    <w:name w:val="Footer Char"/>
    <w:uiPriority w:val="99"/>
    <w:qFormat/>
  </w:style>
  <w:style w:type="character" w:styleId="845" w:customStyle="1">
    <w:name w:val="页脚 字符"/>
    <w:link w:val="771"/>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76"/>
    <w:uiPriority w:val="99"/>
    <w:qFormat/>
    <w:rPr>
      <w:sz w:val="18"/>
    </w:rPr>
  </w:style>
  <w:style w:type="character" w:styleId="953" w:customStyle="1">
    <w:name w:val="尾注文本 字符"/>
    <w:link w:val="769"/>
    <w:uiPriority w:val="99"/>
    <w:qFormat/>
    <w:rPr>
      <w:sz w:val="20"/>
    </w:rPr>
  </w:style>
  <w:style w:type="paragraph" w:styleId="954" w:customStyle="1">
    <w:name w:val="TOC 标题11"/>
    <w:uiPriority w:val="39"/>
    <w:unhideWhenUsed/>
    <w:qFormat/>
    <w:pPr>
      <w:spacing w:after="160" w:line="278" w:lineRule="auto"/>
    </w:pPr>
    <w:rPr>
      <w:rFonts w:ascii="Times New Roman" w:hAnsi="Times New Roman" w:cs="Times New Roman" w:eastAsiaTheme="minorEastAsia"/>
      <w:lang w:val="en-US" w:eastAsia="zh-CN" w:bidi="ar-SA"/>
    </w:rPr>
  </w:style>
  <w:style w:type="paragraph" w:styleId="955" w:customStyle="1">
    <w:name w:val="修订1"/>
    <w:hidden/>
    <w:uiPriority w:val="99"/>
    <w:semiHidden/>
    <w:qFormat/>
    <w:pPr>
      <w:spacing w:after="160" w:line="278" w:lineRule="auto"/>
    </w:pPr>
    <w:rPr>
      <w:rFonts w:ascii="Times New Roman" w:hAnsi="Times New Roman" w:cs="Times New Roman" w:eastAsiaTheme="minorEastAsia"/>
      <w:lang w:val="en-US" w:eastAsia="zh-CN" w:bidi="ar-SA"/>
    </w:rPr>
  </w:style>
  <w:style w:type="character" w:styleId="956" w:customStyle="1">
    <w:name w:val="批注文字 字符"/>
    <w:basedOn w:val="760"/>
    <w:link w:val="765"/>
    <w:uiPriority w:val="0"/>
    <w:qFormat/>
  </w:style>
  <w:style w:type="character" w:styleId="957" w:customStyle="1">
    <w:name w:val="批注主题 字符"/>
    <w:basedOn w:val="956"/>
    <w:link w:val="782"/>
    <w:uiPriority w:val="99"/>
    <w:semiHidden/>
    <w:qFormat/>
    <w:rPr>
      <w:b/>
      <w:bCs/>
    </w:rPr>
  </w:style>
  <w:style w:type="character" w:styleId="958" w:customStyle="1">
    <w:name w:val="批注框文本 字符"/>
    <w:basedOn w:val="760"/>
    <w:link w:val="770"/>
    <w:uiPriority w:val="99"/>
    <w:semiHidden/>
    <w:qFormat/>
    <w:rPr>
      <w:sz w:val="18"/>
      <w:szCs w:val="18"/>
    </w:rPr>
  </w:style>
  <w:style w:type="paragraph" w:styleId="959" w:customStyle="1">
    <w:name w:val="修订2"/>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60" w:customStyle="1">
    <w:name w:val="修订3"/>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1" w:customStyle="1">
    <w:name w:val="普通正文"/>
    <w:basedOn w:val="750"/>
    <w:uiPriority w:val="0"/>
    <w:qFormat/>
    <w:pPr>
      <w:ind w:firstLine="480"/>
      <w:spacing w:before="120" w:after="120" w:line="360" w:lineRule="auto"/>
    </w:pPr>
    <w:rPr>
      <w:rFonts w:ascii="Arial" w:hAnsi="Arial"/>
      <w:szCs w:val="24"/>
    </w:rPr>
  </w:style>
  <w:style w:type="paragraph" w:styleId="962" w:customStyle="1">
    <w:name w:val="_Style 226"/>
    <w:basedOn w:val="751"/>
    <w:next w:val="750"/>
    <w:uiPriority w:val="0"/>
    <w:qFormat/>
    <w:pPr>
      <w:spacing w:line="276" w:lineRule="auto"/>
      <w:outlineLvl w:val="9"/>
    </w:pPr>
    <w:rPr>
      <w:rFonts w:ascii="Cambria" w:hAnsi="Cambria" w:eastAsia="宋体"/>
      <w:bCs/>
      <w:color w:val="365f91"/>
    </w:rPr>
  </w:style>
  <w:style w:type="paragraph" w:styleId="963" w:customStyle="1">
    <w:name w:val="修订4"/>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4" w:customStyle="1">
    <w:name w:val="修订5"/>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65" w:customStyle="1">
    <w:name w:val="修订6"/>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6" w:customStyle="1">
    <w:name w:val="修订7"/>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7" w:customStyle="1">
    <w:name w:val="修订8"/>
    <w:hidden/>
    <w:uiPriority w:val="99"/>
    <w:semiHidden/>
    <w:pPr>
      <w:spacing w:after="160" w:line="278" w:lineRule="auto"/>
    </w:pPr>
    <w:rPr>
      <w:rFonts w:ascii="Times New Roman" w:hAnsi="Times New Roman" w:cs="Times New Roman" w:eastAsiaTheme="minorEastAsia"/>
      <w:lang w:val="en-US" w:eastAsia="zh-CN" w:bidi="ar-SA"/>
    </w:rPr>
  </w:style>
  <w:style w:type="paragraph" w:styleId="968" w:customStyle="1">
    <w:name w:val="Table Text"/>
    <w:basedOn w:val="750"/>
    <w:uiPriority w:val="0"/>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69" w:customStyle="1">
    <w:name w:val="修订9"/>
    <w:hidden/>
    <w:uiPriority w:val="99"/>
    <w:unhideWhenUsed/>
    <w:pPr>
      <w:spacing w:after="160" w:line="278" w:lineRule="auto"/>
    </w:pPr>
    <w:rPr>
      <w:rFonts w:ascii="Times New Roman" w:hAnsi="Times New Roman" w:cs="Times New Roman" w:eastAsiaTheme="minorEastAsia"/>
      <w:lang w:val="en-US" w:eastAsia="zh-CN" w:bidi="ar-SA"/>
    </w:rPr>
  </w:style>
  <w:style w:type="paragraph" w:styleId="970" w:customStyle="1">
    <w:name w:val="Revision"/>
    <w:hidden/>
    <w:uiPriority w:val="99"/>
    <w:unhideWhenUsed/>
    <w:pPr>
      <w:spacing w:after="0" w:line="240" w:lineRule="auto"/>
    </w:pPr>
    <w:rPr>
      <w:rFonts w:ascii="Times New Roman" w:hAnsi="Times New Roman" w:cs="Times New Roman" w:eastAsiaTheme="minorEastAsia"/>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1081FA0C-9B52-4DE8-B6F4-BBE282263B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4</cp:revision>
  <dcterms:created xsi:type="dcterms:W3CDTF">2025-11-05T13:08:00Z</dcterms:created>
  <dcterms:modified xsi:type="dcterms:W3CDTF">2025-11-11T08:09:23Z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CC166B1DA70044E8B8A63FB045C85D2A_13</vt:lpwstr>
  </property>
  <property fmtid="{D5CDD505-2E9C-101B-9397-08002B2CF9AE}" pid="4" name="KSOTemplateDocerSaveRecord">
    <vt:lpwstr>eyJoZGlkIjoiOTNlNTRkNTQ4MWZmZmViNjg3ODU5MGFlZmY4OTg2YTQiLCJ1c2VySWQiOiIyODAyMDMwMDcifQ==</vt:lpwstr>
  </property>
</Properties>
</file>